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8" w:type="dxa"/>
        <w:tblInd w:w="108" w:type="dxa"/>
        <w:tblLook w:val="01E0" w:firstRow="1" w:lastRow="1" w:firstColumn="1" w:lastColumn="1" w:noHBand="0" w:noVBand="0"/>
      </w:tblPr>
      <w:tblGrid>
        <w:gridCol w:w="3686"/>
        <w:gridCol w:w="5572"/>
      </w:tblGrid>
      <w:tr>
        <w:trPr>
          <w:trHeight w:val="650"/>
        </w:trPr>
        <w:tc>
          <w:tcPr>
            <w:tcW w:w="3686" w:type="dxa"/>
            <w:hideMark/>
          </w:tcPr>
          <w:p>
            <w:pPr>
              <w:jc w:val="center"/>
              <w:rPr>
                <w:sz w:val="26"/>
              </w:rPr>
            </w:pPr>
            <w:r>
              <w:rPr>
                <w:sz w:val="26"/>
                <w:szCs w:val="28"/>
              </w:rPr>
              <w:t xml:space="preserve">UBND </w:t>
            </w:r>
            <w:r>
              <w:rPr>
                <w:sz w:val="26"/>
              </w:rPr>
              <w:t>HUYỆN TỦA CHÙA</w:t>
            </w:r>
          </w:p>
          <w:p>
            <w:pPr>
              <w:jc w:val="center"/>
              <w:rPr>
                <w:b/>
                <w:sz w:val="26"/>
              </w:rPr>
            </w:pPr>
            <w:r>
              <w:rPr>
                <w:b/>
                <w:sz w:val="26"/>
              </w:rPr>
              <w:t>PHÒNG LAO ĐỘNG - THƯƠNG BINH VÀ XÃ HỘI</w:t>
            </w:r>
          </w:p>
          <w:p>
            <w:pPr>
              <w:jc w:val="center"/>
              <w:rPr>
                <w:b/>
                <w:sz w:val="26"/>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623570</wp:posOffset>
                      </wp:positionH>
                      <wp:positionV relativeFrom="paragraph">
                        <wp:posOffset>46990</wp:posOffset>
                      </wp:positionV>
                      <wp:extent cx="76073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9.1pt;margin-top:3.7pt;width:59.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"/>
                  </w:pict>
                </mc:Fallback>
              </mc:AlternateContent>
            </w:r>
            <w:r>
              <w:rPr>
                <w:b/>
                <w:sz w:val="26"/>
              </w:rPr>
              <w:t xml:space="preserve"> </w:t>
            </w:r>
          </w:p>
        </w:tc>
        <w:tc>
          <w:tcPr>
            <w:tcW w:w="5572" w:type="dxa"/>
            <w:hideMark/>
          </w:tcPr>
          <w:p>
            <w:pPr>
              <w:jc w:val="center"/>
              <w:rPr>
                <w:b/>
                <w:spacing w:val="-10"/>
                <w:sz w:val="26"/>
                <w:szCs w:val="26"/>
              </w:rPr>
            </w:pPr>
            <w:r>
              <w:rPr>
                <w:b/>
                <w:spacing w:val="-10"/>
                <w:sz w:val="26"/>
                <w:szCs w:val="26"/>
              </w:rPr>
              <w:t>CỘNG HÒA XÃ HỘI CHỦ NGHĨA VIỆT NAM</w:t>
            </w:r>
          </w:p>
          <w:p>
            <w:pPr>
              <w:jc w:val="center"/>
              <w:rPr>
                <w:b/>
                <w:sz w:val="28"/>
                <w:szCs w:val="28"/>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613410</wp:posOffset>
                      </wp:positionH>
                      <wp:positionV relativeFrom="paragraph">
                        <wp:posOffset>249555</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9.65pt" to="219.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"/>
                  </w:pict>
                </mc:Fallback>
              </mc:AlternateContent>
            </w:r>
            <w:r>
              <w:rPr>
                <w:b/>
                <w:sz w:val="28"/>
                <w:szCs w:val="28"/>
              </w:rPr>
              <w:t>Độc lập - Tự do - Hạnh phúc</w:t>
            </w:r>
          </w:p>
        </w:tc>
      </w:tr>
      <w:tr>
        <w:trPr>
          <w:trHeight w:val="462"/>
        </w:trPr>
        <w:tc>
          <w:tcPr>
            <w:tcW w:w="3686" w:type="dxa"/>
            <w:hideMark/>
          </w:tcPr>
          <w:p>
            <w:pPr>
              <w:spacing w:before="120"/>
              <w:jc w:val="center"/>
              <w:rPr>
                <w:b/>
                <w:sz w:val="28"/>
                <w:szCs w:val="28"/>
              </w:rPr>
            </w:pPr>
            <w:r>
              <w:rPr>
                <w:sz w:val="28"/>
                <w:szCs w:val="28"/>
              </w:rPr>
              <w:t>Số:         /BC-UBND</w:t>
            </w:r>
          </w:p>
        </w:tc>
        <w:tc>
          <w:tcPr>
            <w:tcW w:w="5572" w:type="dxa"/>
            <w:hideMark/>
          </w:tcPr>
          <w:p>
            <w:pPr>
              <w:spacing w:before="120"/>
              <w:jc w:val="center"/>
              <w:rPr>
                <w:b/>
                <w:sz w:val="28"/>
                <w:szCs w:val="28"/>
              </w:rPr>
            </w:pPr>
            <w:r>
              <w:rPr>
                <w:i/>
                <w:sz w:val="28"/>
                <w:szCs w:val="28"/>
              </w:rPr>
              <w:t>Tủa Chùa, ngày          tháng   8   năm 2023</w:t>
            </w:r>
          </w:p>
        </w:tc>
      </w:tr>
    </w:tbl>
    <w:p>
      <w:pPr>
        <w:jc w:val="center"/>
        <w:rPr>
          <w:b/>
          <w:sz w:val="28"/>
          <w:szCs w:val="28"/>
        </w:rPr>
      </w:pPr>
    </w:p>
    <w:p>
      <w:pPr>
        <w:jc w:val="center"/>
        <w:rPr>
          <w:b/>
          <w:bCs/>
          <w:sz w:val="28"/>
          <w:szCs w:val="28"/>
        </w:rPr>
      </w:pPr>
      <w:r>
        <w:rPr>
          <w:b/>
          <w:bCs/>
          <w:sz w:val="28"/>
          <w:szCs w:val="28"/>
        </w:rPr>
        <w:t>BÁO CÁO</w:t>
      </w:r>
    </w:p>
    <w:p>
      <w:pPr>
        <w:jc w:val="center"/>
        <w:rPr>
          <w:b/>
          <w:sz w:val="28"/>
          <w:szCs w:val="28"/>
        </w:rPr>
      </w:pPr>
      <w:r>
        <w:rPr>
          <w:b/>
          <w:sz w:val="28"/>
          <w:szCs w:val="28"/>
        </w:rPr>
        <w:t xml:space="preserve">Kết quả  thực hiện Chương trình mục tiêu quốc gia giảm nghèo </w:t>
      </w:r>
    </w:p>
    <w:p>
      <w:pPr>
        <w:jc w:val="center"/>
        <w:rPr>
          <w:b/>
          <w:sz w:val="28"/>
          <w:szCs w:val="28"/>
        </w:rPr>
      </w:pPr>
      <w:r>
        <w:rPr>
          <w:b/>
          <w:sz w:val="28"/>
          <w:szCs w:val="28"/>
        </w:rPr>
        <w:t>bền vững năm 2023 trên địa bàn huyện Tủa Chùa</w:t>
      </w:r>
    </w:p>
    <w:p>
      <w:pPr>
        <w:spacing w:before="120"/>
        <w:ind w:firstLine="720"/>
        <w:jc w:val="both"/>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1926590</wp:posOffset>
                </wp:positionH>
                <wp:positionV relativeFrom="paragraph">
                  <wp:posOffset>22860</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7pt,1.8pt" to="30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sX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" strokecolor="black [3040]"/>
            </w:pict>
          </mc:Fallback>
        </mc:AlternateContent>
      </w:r>
    </w:p>
    <w:p>
      <w:pPr>
        <w:spacing w:before="120"/>
        <w:ind w:firstLine="720"/>
        <w:jc w:val="both"/>
        <w:rPr>
          <w:sz w:val="28"/>
          <w:szCs w:val="28"/>
        </w:rPr>
      </w:pPr>
      <w:r>
        <w:rPr>
          <w:sz w:val="28"/>
          <w:szCs w:val="28"/>
        </w:rPr>
        <w:t xml:space="preserve">Thực hiện ý kiến chỉ đạo của UBND huyện về việc chuẩn bị cho nội dung tại phiên họp tháng 8 năm 2023. Phòng Lao động - Thường binh và Xã hội  huyện là cơ quan thường trực tổng hợp báo cáo kết quả triển khai thực hiện Chương trình mục tiêu quốc gia giảm nghèo bền vững năm 2023 </w:t>
      </w:r>
      <w:r>
        <w:rPr>
          <w:i/>
          <w:sz w:val="28"/>
          <w:szCs w:val="28"/>
        </w:rPr>
        <w:t>(tính đến thời điểm 07/8/2023)</w:t>
      </w:r>
      <w:r>
        <w:rPr>
          <w:sz w:val="28"/>
          <w:szCs w:val="28"/>
        </w:rPr>
        <w:t>, cụ thể như sau:</w:t>
      </w:r>
    </w:p>
    <w:p>
      <w:pPr>
        <w:spacing w:before="120"/>
        <w:ind w:firstLine="709"/>
        <w:jc w:val="both"/>
        <w:rPr>
          <w:b/>
          <w:spacing w:val="-6"/>
          <w:sz w:val="28"/>
          <w:szCs w:val="28"/>
        </w:rPr>
      </w:pPr>
      <w:r>
        <w:rPr>
          <w:b/>
          <w:spacing w:val="-6"/>
          <w:sz w:val="28"/>
          <w:szCs w:val="28"/>
        </w:rPr>
        <w:t>I. CÔNG TÁC CHỈ ĐẠO ĐIỀU HÀNH, QUẢN LÝ CHƯƠNG TRÌNH</w:t>
      </w:r>
    </w:p>
    <w:p>
      <w:pPr>
        <w:spacing w:before="120"/>
        <w:ind w:firstLine="709"/>
        <w:jc w:val="both"/>
        <w:rPr>
          <w:b/>
          <w:sz w:val="28"/>
          <w:szCs w:val="28"/>
        </w:rPr>
      </w:pPr>
      <w:r>
        <w:rPr>
          <w:b/>
          <w:sz w:val="28"/>
          <w:szCs w:val="28"/>
        </w:rPr>
        <w:t>1. Công tác chỉ đạo, điều hành Chương trình</w:t>
      </w:r>
    </w:p>
    <w:p>
      <w:pPr>
        <w:spacing w:before="120"/>
        <w:ind w:firstLine="709"/>
        <w:jc w:val="both"/>
        <w:rPr>
          <w:sz w:val="28"/>
          <w:szCs w:val="28"/>
        </w:rPr>
      </w:pPr>
      <w:r>
        <w:rPr>
          <w:sz w:val="28"/>
          <w:szCs w:val="28"/>
        </w:rPr>
        <w:t>- Cấp huyện: Trên cơ sở các văn bản hướng dẫn, chỉ đạo của Trung ương, của tỉnh, UBND huyện đã chủ động xây dựng và ban hành các văn bản hướng dẫn tổ chức triển khai thực hiện các nội dụng, hoạt động của Chương trình</w:t>
      </w:r>
      <w:r>
        <w:rPr>
          <w:rStyle w:val="FootnoteReference"/>
          <w:sz w:val="28"/>
          <w:szCs w:val="28"/>
        </w:rPr>
        <w:footnoteReference w:id="1"/>
      </w:r>
      <w:r>
        <w:rPr>
          <w:sz w:val="28"/>
          <w:szCs w:val="28"/>
        </w:rPr>
        <w:t>.</w:t>
      </w:r>
    </w:p>
    <w:p>
      <w:pPr>
        <w:spacing w:before="120"/>
        <w:ind w:firstLine="709"/>
        <w:jc w:val="both"/>
        <w:rPr>
          <w:sz w:val="28"/>
          <w:szCs w:val="28"/>
        </w:rPr>
      </w:pPr>
      <w:r>
        <w:rPr>
          <w:sz w:val="28"/>
          <w:szCs w:val="28"/>
        </w:rPr>
        <w:t>- Cấp xã: UBND các xã, thị trấn đã chủ động xây dựng, ban hành kế hoạch để tổ chức triển khai thực hiện Chương trình vững trên địa bàn.</w:t>
      </w:r>
    </w:p>
    <w:p>
      <w:pPr>
        <w:spacing w:before="120"/>
        <w:ind w:firstLine="709"/>
        <w:jc w:val="both"/>
        <w:rPr>
          <w:b/>
          <w:sz w:val="28"/>
          <w:szCs w:val="28"/>
        </w:rPr>
      </w:pPr>
      <w:r>
        <w:rPr>
          <w:b/>
          <w:sz w:val="28"/>
          <w:szCs w:val="28"/>
        </w:rPr>
        <w:t>2. Công tác quản lý thực hiện Chương trình</w:t>
      </w:r>
    </w:p>
    <w:p>
      <w:pPr>
        <w:widowControl w:val="0"/>
        <w:shd w:val="clear" w:color="auto" w:fill="FFFFFF"/>
        <w:spacing w:before="120"/>
        <w:ind w:firstLine="709"/>
        <w:jc w:val="both"/>
        <w:outlineLvl w:val="0"/>
        <w:rPr>
          <w:sz w:val="28"/>
          <w:szCs w:val="28"/>
        </w:rPr>
      </w:pPr>
      <w:r>
        <w:rPr>
          <w:sz w:val="28"/>
          <w:szCs w:val="28"/>
        </w:rPr>
        <w:t>- Các cơ quan, ban, ngành, thành viên Ban Chỉ đạo thực hiện Chương trình mục tiêu quốc gia giảm nghèo bền vững cấp huyện, cấp xã đã chủ động xây dựng kế hoạch triển khai thực hiện thuộc lĩnh vực ngành, đơn vị được giao phụ trách để nâng cao việc thực hiện các mục tiêu, chỉ tiêu giảm nghèo bền vững đã đề ra.</w:t>
      </w:r>
    </w:p>
    <w:p>
      <w:pPr>
        <w:widowControl w:val="0"/>
        <w:shd w:val="clear" w:color="auto" w:fill="FFFFFF"/>
        <w:spacing w:before="120"/>
        <w:ind w:firstLine="709"/>
        <w:jc w:val="both"/>
        <w:outlineLvl w:val="0"/>
        <w:rPr>
          <w:sz w:val="28"/>
          <w:szCs w:val="28"/>
        </w:rPr>
      </w:pPr>
      <w:r>
        <w:rPr>
          <w:sz w:val="28"/>
          <w:szCs w:val="28"/>
        </w:rPr>
        <w:t xml:space="preserve">- Việc </w:t>
      </w:r>
      <w:r>
        <w:rPr>
          <w:iCs/>
          <w:sz w:val="28"/>
          <w:szCs w:val="28"/>
          <w:shd w:val="clear" w:color="auto" w:fill="FFFFFF"/>
          <w:lang w:val="vi-VN"/>
        </w:rPr>
        <w:t xml:space="preserve">kiểm tra và giám sát, đánh giá thực hiện Chương trình mục tiêu quốc gia </w:t>
      </w:r>
      <w:r>
        <w:rPr>
          <w:iCs/>
          <w:sz w:val="28"/>
          <w:szCs w:val="28"/>
          <w:shd w:val="clear" w:color="auto" w:fill="FFFFFF"/>
        </w:rPr>
        <w:t>g</w:t>
      </w:r>
      <w:r>
        <w:rPr>
          <w:iCs/>
          <w:sz w:val="28"/>
          <w:szCs w:val="28"/>
          <w:shd w:val="clear" w:color="auto" w:fill="FFFFFF"/>
          <w:lang w:val="vi-VN"/>
        </w:rPr>
        <w:t xml:space="preserve">iảm nghèo bền vững </w:t>
      </w:r>
      <w:r>
        <w:rPr>
          <w:iCs/>
          <w:sz w:val="28"/>
          <w:szCs w:val="28"/>
          <w:shd w:val="clear" w:color="auto" w:fill="FFFFFF"/>
        </w:rPr>
        <w:t xml:space="preserve">được thực hiện đúng theo </w:t>
      </w:r>
      <w:r>
        <w:rPr>
          <w:sz w:val="28"/>
          <w:szCs w:val="28"/>
        </w:rPr>
        <w:t xml:space="preserve">quy định tại Thông tư số 10/2022/TT-BLĐTBXH ngày 31/5/2022 về hướng dẫn giám sát, đánh giá thực hiện </w:t>
      </w:r>
      <w:r>
        <w:rPr>
          <w:iCs/>
          <w:sz w:val="28"/>
          <w:szCs w:val="28"/>
          <w:shd w:val="clear" w:color="auto" w:fill="FFFFFF"/>
          <w:lang w:val="vi-VN"/>
        </w:rPr>
        <w:t xml:space="preserve">Chương trình mục tiêu quốc gia </w:t>
      </w:r>
      <w:r>
        <w:rPr>
          <w:iCs/>
          <w:sz w:val="28"/>
          <w:szCs w:val="28"/>
          <w:shd w:val="clear" w:color="auto" w:fill="FFFFFF"/>
        </w:rPr>
        <w:t>g</w:t>
      </w:r>
      <w:r>
        <w:rPr>
          <w:iCs/>
          <w:sz w:val="28"/>
          <w:szCs w:val="28"/>
          <w:shd w:val="clear" w:color="auto" w:fill="FFFFFF"/>
          <w:lang w:val="vi-VN"/>
        </w:rPr>
        <w:t>iảm nghèo bền vững giai đoạn 2021-2025</w:t>
      </w:r>
      <w:r>
        <w:rPr>
          <w:iCs/>
          <w:sz w:val="28"/>
          <w:szCs w:val="28"/>
          <w:shd w:val="clear" w:color="auto" w:fill="FFFFFF"/>
        </w:rPr>
        <w:t xml:space="preserve"> </w:t>
      </w:r>
      <w:r>
        <w:rPr>
          <w:sz w:val="28"/>
          <w:szCs w:val="28"/>
        </w:rPr>
        <w:t>của Bộ Lao động - Thương binh và Xã hội.</w:t>
      </w:r>
    </w:p>
    <w:p>
      <w:pPr>
        <w:spacing w:before="120"/>
        <w:ind w:firstLine="709"/>
        <w:jc w:val="both"/>
        <w:rPr>
          <w:b/>
          <w:sz w:val="28"/>
          <w:szCs w:val="28"/>
        </w:rPr>
      </w:pPr>
      <w:r>
        <w:rPr>
          <w:b/>
          <w:sz w:val="28"/>
          <w:szCs w:val="28"/>
        </w:rPr>
        <w:lastRenderedPageBreak/>
        <w:t xml:space="preserve">II. KINH PHÍ GIAO THỰC HIỆN CHƯƠNG TRÌNH </w:t>
      </w:r>
    </w:p>
    <w:p>
      <w:pPr>
        <w:spacing w:before="120"/>
        <w:ind w:firstLine="709"/>
        <w:jc w:val="both"/>
        <w:rPr>
          <w:b/>
          <w:sz w:val="28"/>
          <w:szCs w:val="28"/>
        </w:rPr>
      </w:pPr>
      <w:r>
        <w:rPr>
          <w:sz w:val="28"/>
          <w:szCs w:val="28"/>
          <w:u w:color="FFFFFF"/>
        </w:rPr>
        <w:t xml:space="preserve">Từ nguồn ngân sách Trung ương thực hiện Chương trình mục tiêu quốc gia giảm nghèo bền vững năm 2023 bố trí: 101.700.047.065 đồng, trong đó: </w:t>
      </w:r>
    </w:p>
    <w:p>
      <w:pPr>
        <w:widowControl w:val="0"/>
        <w:pBdr>
          <w:bottom w:val="single" w:sz="4" w:space="5" w:color="FFFFFF"/>
        </w:pBdr>
        <w:spacing w:before="120"/>
        <w:ind w:firstLine="709"/>
        <w:jc w:val="both"/>
        <w:rPr>
          <w:sz w:val="28"/>
          <w:szCs w:val="28"/>
          <w:u w:color="FFFFFF"/>
        </w:rPr>
      </w:pPr>
      <w:r>
        <w:rPr>
          <w:sz w:val="28"/>
          <w:szCs w:val="28"/>
          <w:u w:color="FFFFFF"/>
        </w:rPr>
        <w:t>+ Nguồn vốn đầu tư bố trí giao: 62.328.442.000 đồng, cụ thể như sau: Giao các công trình khởi công năm 2022: 51.620.000.000 đồng; giao các công trình khởi công năm 2023: 1.500.000.000 đồng; chuyển nguồn từ năm 2022 sang năm 2023: 9.208.442.000 đồng.</w:t>
      </w:r>
    </w:p>
    <w:p>
      <w:pPr>
        <w:widowControl w:val="0"/>
        <w:pBdr>
          <w:bottom w:val="single" w:sz="4" w:space="5" w:color="FFFFFF"/>
        </w:pBdr>
        <w:spacing w:before="120"/>
        <w:ind w:firstLine="709"/>
        <w:jc w:val="both"/>
        <w:rPr>
          <w:sz w:val="28"/>
          <w:szCs w:val="28"/>
          <w:u w:color="FFFFFF"/>
        </w:rPr>
      </w:pPr>
      <w:r>
        <w:rPr>
          <w:sz w:val="28"/>
          <w:szCs w:val="28"/>
          <w:u w:color="FFFFFF"/>
        </w:rPr>
        <w:t>+ Nguồn vốn sự nghiệp bố trí giao: 39.371.605.065 triệu đồng (bao gồm cả chuyển nguồn từ năm 2022 sang năm 2023: 7.057.605.065 đồng), cụ thể như sau: Dự án 1: 4.212.848.861 đồng; Dự án 2: 11.683.000.000 đồng; Dự án 3: 6.388.000.000 đồng; Dự án 4: 6.553.918.204 đồng; Dự án 5: 7.360.000.000 đồng; Dự án 6: 1.887.099.000 đồng; Dự  án 7: 1.286.739.000 đồng.</w:t>
      </w:r>
    </w:p>
    <w:p>
      <w:pPr>
        <w:widowControl w:val="0"/>
        <w:pBdr>
          <w:bottom w:val="single" w:sz="4" w:space="5" w:color="FFFFFF"/>
        </w:pBdr>
        <w:spacing w:before="120"/>
        <w:ind w:firstLine="709"/>
        <w:jc w:val="both"/>
        <w:rPr>
          <w:b/>
          <w:bCs/>
          <w:iCs/>
          <w:sz w:val="28"/>
          <w:szCs w:val="28"/>
          <w:u w:color="FFFFFF"/>
        </w:rPr>
      </w:pPr>
      <w:r>
        <w:rPr>
          <w:b/>
          <w:bCs/>
          <w:iCs/>
          <w:sz w:val="28"/>
          <w:szCs w:val="28"/>
          <w:u w:color="FFFFFF"/>
        </w:rPr>
        <w:t xml:space="preserve">III. KẾT QUẢ THỰC HIỆN CÁC DỰ ÁN THÀNH PHẦN </w:t>
      </w:r>
    </w:p>
    <w:p>
      <w:pPr>
        <w:widowControl w:val="0"/>
        <w:pBdr>
          <w:bottom w:val="single" w:sz="4" w:space="5" w:color="FFFFFF"/>
        </w:pBdr>
        <w:spacing w:before="120"/>
        <w:ind w:firstLine="709"/>
        <w:jc w:val="both"/>
        <w:rPr>
          <w:b/>
          <w:bCs/>
          <w:iCs/>
          <w:sz w:val="28"/>
          <w:szCs w:val="28"/>
          <w:u w:color="FFFFFF"/>
        </w:rPr>
      </w:pPr>
      <w:r>
        <w:rPr>
          <w:b/>
          <w:sz w:val="28"/>
          <w:szCs w:val="28"/>
        </w:rPr>
        <w:t xml:space="preserve">1. Dự án 1 (Tiểu dự án 1) Hỗ trợ đầu tư phát triển hạ tầng kinh tế - xã hội các huyện nghèo: </w:t>
      </w:r>
      <w:r>
        <w:rPr>
          <w:sz w:val="28"/>
          <w:szCs w:val="28"/>
        </w:rPr>
        <w:t>Tổng kinh phí được giao: 66.541.290.861 đồng. Kinh phí thực hiện giải ngân 11.231.284.492 đồng, đạt 16,88% nguồn vốn được giao, cụ thể như sau:</w:t>
      </w:r>
    </w:p>
    <w:p>
      <w:pPr>
        <w:widowControl w:val="0"/>
        <w:pBdr>
          <w:bottom w:val="single" w:sz="4" w:space="5" w:color="FFFFFF"/>
        </w:pBdr>
        <w:spacing w:before="120"/>
        <w:ind w:firstLine="709"/>
        <w:jc w:val="both"/>
        <w:rPr>
          <w:b/>
          <w:bCs/>
          <w:iCs/>
          <w:spacing w:val="-4"/>
          <w:sz w:val="28"/>
          <w:szCs w:val="28"/>
          <w:u w:color="FFFFFF"/>
        </w:rPr>
      </w:pPr>
      <w:r>
        <w:rPr>
          <w:spacing w:val="-4"/>
          <w:sz w:val="28"/>
          <w:szCs w:val="28"/>
        </w:rPr>
        <w:t>- Nguồn vốn đầu tư: UBND huyện được UBND tỉnh phê duyệt dự án đầu tư xây dựng 09 công trình với tổng dự toán giao</w:t>
      </w:r>
      <w:r>
        <w:rPr>
          <w:spacing w:val="-4"/>
          <w:sz w:val="28"/>
          <w:szCs w:val="28"/>
          <w:u w:color="FFFFFF"/>
        </w:rPr>
        <w:t xml:space="preserve">: 62.328.442.000 đồng, cụ thể như sau: Giao các công trình khởi công năm 2022: 51.620.000.000 đồng; giao các công trình khởi công năm 2023: 1.500.000.000 đồng; chuyển nguồn từ năm 2022 sang năm 2023: 9.208.442.000 đồng. </w:t>
      </w:r>
      <w:r>
        <w:rPr>
          <w:spacing w:val="-4"/>
          <w:sz w:val="28"/>
          <w:szCs w:val="28"/>
        </w:rPr>
        <w:t>Kinh phí thực hiện giải ngân 10.532.538.000 đồng, đạt 16,89% nguồn vốn được giao.</w:t>
      </w:r>
    </w:p>
    <w:p>
      <w:pPr>
        <w:widowControl w:val="0"/>
        <w:pBdr>
          <w:bottom w:val="single" w:sz="4" w:space="5" w:color="FFFFFF"/>
        </w:pBdr>
        <w:spacing w:before="120"/>
        <w:ind w:firstLine="709"/>
        <w:jc w:val="both"/>
        <w:rPr>
          <w:b/>
          <w:bCs/>
          <w:iCs/>
          <w:spacing w:val="-4"/>
          <w:sz w:val="28"/>
          <w:szCs w:val="28"/>
          <w:u w:color="FFFFFF"/>
        </w:rPr>
      </w:pPr>
      <w:r>
        <w:rPr>
          <w:spacing w:val="-4"/>
          <w:sz w:val="28"/>
          <w:szCs w:val="28"/>
        </w:rPr>
        <w:t xml:space="preserve">- Nguồn vốn sự nghiệp: UBND huyện được bố trí </w:t>
      </w:r>
      <w:r>
        <w:rPr>
          <w:spacing w:val="-4"/>
          <w:sz w:val="28"/>
          <w:szCs w:val="28"/>
          <w:u w:color="FFFFFF"/>
        </w:rPr>
        <w:t>4.212.848.861 đồng</w:t>
      </w:r>
      <w:r>
        <w:rPr>
          <w:spacing w:val="-4"/>
          <w:sz w:val="28"/>
          <w:szCs w:val="28"/>
        </w:rPr>
        <w:t xml:space="preserve"> để thực hiện đầu tư phát triển hạ tầng cho các xã, thị trấn. Hiện tại UBND các xã, thị trấn đang tổ chức thực hiện </w:t>
      </w:r>
      <w:r>
        <w:rPr>
          <w:spacing w:val="-4"/>
          <w:sz w:val="28"/>
          <w:szCs w:val="28"/>
          <w:lang w:val="vi-VN"/>
        </w:rPr>
        <w:t>hỗ trợ duy tu và b</w:t>
      </w:r>
      <w:r>
        <w:rPr>
          <w:spacing w:val="-4"/>
          <w:sz w:val="28"/>
          <w:szCs w:val="28"/>
        </w:rPr>
        <w:t>ả</w:t>
      </w:r>
      <w:r>
        <w:rPr>
          <w:spacing w:val="-4"/>
          <w:sz w:val="28"/>
          <w:szCs w:val="28"/>
          <w:lang w:val="vi-VN"/>
        </w:rPr>
        <w:t xml:space="preserve">o dưỡng </w:t>
      </w:r>
      <w:r>
        <w:rPr>
          <w:spacing w:val="-4"/>
          <w:sz w:val="28"/>
          <w:szCs w:val="28"/>
        </w:rPr>
        <w:t>12</w:t>
      </w:r>
      <w:r>
        <w:rPr>
          <w:spacing w:val="-4"/>
          <w:sz w:val="28"/>
          <w:szCs w:val="28"/>
          <w:lang w:val="vi-VN"/>
        </w:rPr>
        <w:t xml:space="preserve"> công trình phục vụ dân sinh, sản xuất, thiết yếu trên địa bàn</w:t>
      </w:r>
      <w:r>
        <w:rPr>
          <w:spacing w:val="-4"/>
          <w:sz w:val="28"/>
          <w:szCs w:val="28"/>
        </w:rPr>
        <w:t>. Đã có 02/12 xã, thị trấn đã thực hiện giải ngân với tổng kinh phí giải ngân 698.746.492 đồng, đạt 16,59% nguồn vốn được giao (Mường Báng giải ngân 349.805.000 đồng; Xá Nhè giải ngân 348.941.492 đồng).</w:t>
      </w:r>
    </w:p>
    <w:p>
      <w:pPr>
        <w:widowControl w:val="0"/>
        <w:pBdr>
          <w:bottom w:val="single" w:sz="4" w:space="5" w:color="FFFFFF"/>
        </w:pBdr>
        <w:spacing w:before="120"/>
        <w:ind w:firstLine="709"/>
        <w:jc w:val="both"/>
        <w:rPr>
          <w:b/>
          <w:bCs/>
          <w:iCs/>
          <w:spacing w:val="-4"/>
          <w:sz w:val="28"/>
          <w:szCs w:val="28"/>
          <w:u w:color="FFFFFF"/>
        </w:rPr>
      </w:pPr>
      <w:r>
        <w:rPr>
          <w:b/>
          <w:bCs/>
          <w:sz w:val="28"/>
          <w:szCs w:val="28"/>
          <w:lang w:val="vi-VN"/>
        </w:rPr>
        <w:t>2. Dự án 2: Đa dạng hóa sinh kế, phát triển mô hình giảm nghèo</w:t>
      </w:r>
      <w:r>
        <w:rPr>
          <w:b/>
          <w:bCs/>
          <w:sz w:val="28"/>
          <w:szCs w:val="28"/>
        </w:rPr>
        <w:t xml:space="preserve">: </w:t>
      </w:r>
      <w:r>
        <w:rPr>
          <w:bCs/>
          <w:sz w:val="28"/>
          <w:szCs w:val="28"/>
        </w:rPr>
        <w:t xml:space="preserve">UBND huyện được bố trí: </w:t>
      </w:r>
      <w:r>
        <w:rPr>
          <w:sz w:val="28"/>
          <w:szCs w:val="28"/>
          <w:u w:color="FFFFFF"/>
        </w:rPr>
        <w:t>11.683.000.000 đồng</w:t>
      </w:r>
      <w:r>
        <w:rPr>
          <w:bCs/>
          <w:sz w:val="28"/>
          <w:szCs w:val="28"/>
        </w:rPr>
        <w:t xml:space="preserve"> (chuyển nguồn năm 2022 sang năm 2023: 3.320.</w:t>
      </w:r>
      <w:r>
        <w:rPr>
          <w:sz w:val="28"/>
          <w:szCs w:val="28"/>
          <w:u w:color="FFFFFF"/>
        </w:rPr>
        <w:t>000.000 đồng</w:t>
      </w:r>
      <w:r>
        <w:rPr>
          <w:bCs/>
          <w:sz w:val="28"/>
          <w:szCs w:val="28"/>
        </w:rPr>
        <w:t>; năm 2023: 8.363.</w:t>
      </w:r>
      <w:r>
        <w:rPr>
          <w:sz w:val="28"/>
          <w:szCs w:val="28"/>
          <w:u w:color="FFFFFF"/>
        </w:rPr>
        <w:t>000.000 đồng</w:t>
      </w:r>
      <w:r>
        <w:rPr>
          <w:bCs/>
          <w:sz w:val="28"/>
          <w:szCs w:val="28"/>
        </w:rPr>
        <w:t xml:space="preserve">) để thực hiện hỗ trợ đa dạng hóa sinh kế, phát triển mô hình giảm nghèo. </w:t>
      </w:r>
    </w:p>
    <w:p>
      <w:pPr>
        <w:widowControl w:val="0"/>
        <w:pBdr>
          <w:bottom w:val="single" w:sz="4" w:space="5" w:color="FFFFFF"/>
        </w:pBdr>
        <w:spacing w:before="120"/>
        <w:ind w:firstLine="709"/>
        <w:jc w:val="both"/>
        <w:rPr>
          <w:b/>
          <w:bCs/>
          <w:iCs/>
          <w:spacing w:val="-4"/>
          <w:sz w:val="28"/>
          <w:szCs w:val="28"/>
          <w:u w:color="FFFFFF"/>
        </w:rPr>
      </w:pPr>
      <w:r>
        <w:rPr>
          <w:bCs/>
          <w:spacing w:val="-4"/>
          <w:sz w:val="28"/>
          <w:szCs w:val="28"/>
        </w:rPr>
        <w:t xml:space="preserve">Dự kiến trong năm 2023, tổ chức thực hiện hỗ trợ 25 dự án hỗ trợ phát triển sản xuất cộng đồng với tổng kinh phí dự kiến hỗ trợ </w:t>
      </w:r>
      <w:r>
        <w:rPr>
          <w:spacing w:val="-4"/>
          <w:sz w:val="28"/>
          <w:szCs w:val="28"/>
          <w:u w:color="FFFFFF"/>
        </w:rPr>
        <w:t>11.683.000.000 đồng</w:t>
      </w:r>
      <w:r>
        <w:rPr>
          <w:bCs/>
          <w:spacing w:val="-4"/>
          <w:sz w:val="28"/>
          <w:szCs w:val="28"/>
        </w:rPr>
        <w:t>, trong đó tập trung thực hiện hỗ trợ dự án, phương án sản xuất của cộng đồng như: Chăn nuôi gia súc (trâu, bò, dê, ngựa), hỗ trợ chăn nuôi gia cầm, hỗ trợ phát triển cây ăn quả (đào, lê…), hỗ trợ máy móc công cụ phục vụ sản xuất nông nghiệp... Hiện tại đã thẩm định, phê duyệt 01 dự án hỗ trợ phát triển cây lê VH6 trên địa bàn xã Sín Chải với quy mô 9 ha, 27 hộ tham gia, tổng kinh phí hỗ trợ là 460,92 triệu đồng, đạt 4% kế hoạch vốn giao. Kinh phí thực hiện giải ngân dự án 0 đồng.</w:t>
      </w:r>
    </w:p>
    <w:p>
      <w:pPr>
        <w:widowControl w:val="0"/>
        <w:pBdr>
          <w:bottom w:val="single" w:sz="4" w:space="5" w:color="FFFFFF"/>
        </w:pBdr>
        <w:spacing w:before="120"/>
        <w:ind w:firstLine="709"/>
        <w:jc w:val="both"/>
        <w:rPr>
          <w:b/>
          <w:bCs/>
          <w:iCs/>
          <w:spacing w:val="-4"/>
          <w:sz w:val="28"/>
          <w:szCs w:val="28"/>
          <w:u w:color="FFFFFF"/>
          <w:lang w:val="vi-VN"/>
        </w:rPr>
      </w:pPr>
      <w:r>
        <w:rPr>
          <w:b/>
          <w:bCs/>
          <w:sz w:val="28"/>
          <w:szCs w:val="28"/>
        </w:rPr>
        <w:lastRenderedPageBreak/>
        <w:t>3. Dự án 3: Hỗ trợ phát triển sản xuất, cải thiện dinh dưỡng</w:t>
      </w:r>
    </w:p>
    <w:p>
      <w:pPr>
        <w:spacing w:before="120"/>
        <w:ind w:firstLine="709"/>
        <w:jc w:val="both"/>
        <w:rPr>
          <w:bCs/>
          <w:spacing w:val="-2"/>
          <w:sz w:val="28"/>
          <w:szCs w:val="28"/>
        </w:rPr>
      </w:pPr>
      <w:r>
        <w:rPr>
          <w:b/>
          <w:bCs/>
          <w:spacing w:val="-2"/>
          <w:sz w:val="28"/>
          <w:szCs w:val="28"/>
        </w:rPr>
        <w:t xml:space="preserve">3.1. </w:t>
      </w:r>
      <w:r>
        <w:rPr>
          <w:b/>
          <w:spacing w:val="-2"/>
          <w:sz w:val="28"/>
          <w:szCs w:val="28"/>
        </w:rPr>
        <w:t>Tiểu dự án 1. Hỗ trợ phát triển sản xuất trong lĩnh vực nông nghiệp</w:t>
      </w:r>
      <w:r>
        <w:rPr>
          <w:bCs/>
          <w:spacing w:val="-2"/>
          <w:sz w:val="28"/>
          <w:szCs w:val="28"/>
        </w:rPr>
        <w:t>: UBND huyện được bố trí: 5.023.000.000 đồng (</w:t>
      </w:r>
      <w:r>
        <w:rPr>
          <w:bCs/>
          <w:sz w:val="28"/>
          <w:szCs w:val="28"/>
        </w:rPr>
        <w:t>chuyển nguồn năm 2022 sang năm 2023</w:t>
      </w:r>
      <w:r>
        <w:rPr>
          <w:bCs/>
          <w:spacing w:val="-2"/>
          <w:sz w:val="28"/>
          <w:szCs w:val="28"/>
        </w:rPr>
        <w:t xml:space="preserve">: 1.408.000.000 đồng; năm 2023: 3.615.000.000 đồng) để thực hiện hỗ trợ phát triển sản xuất trong lĩnh vực nông nghiệp. UBND huyện đã giao UBND các xã, thị trấn chủ trì, phối hợp với Phòng Nông nghiệp và Phát triển nông thôn huyện và các đơn vị liên quan tổ chức triển khai thực hiện. Dự kiến năm 2023 thực hiện 24 dự án hỗ trợ sản xuất cộng đồng, trong đó tập trung thực hiện hỗ trợ phát triển chăn nuôi gia súc (trâu, bò, dê, ngựa), hỗ trợ phát triển cây ăn quả, hỗ trợ phát triển chăn nuôi gia cầm, hỗ trợ phát triển thủy sản, hỗ trợ sản xuất cây lương thực (lúa), hỗ trợ máy móc công cụ phục vụ sản xuất nông nghiệp. </w:t>
      </w:r>
    </w:p>
    <w:p>
      <w:pPr>
        <w:spacing w:before="120"/>
        <w:ind w:firstLine="709"/>
        <w:jc w:val="both"/>
        <w:rPr>
          <w:bCs/>
          <w:sz w:val="28"/>
          <w:szCs w:val="28"/>
        </w:rPr>
      </w:pPr>
      <w:r>
        <w:rPr>
          <w:bCs/>
          <w:spacing w:val="-2"/>
          <w:sz w:val="28"/>
          <w:szCs w:val="28"/>
        </w:rPr>
        <w:t xml:space="preserve">Đến thời điểm hiện tại đã thẩm định phê duyệt 01 dự án hỗ trợ cộng đồng thôn Páo Tỉnh Làng 1, xã Tả Sìn Thàng sản xuất lúa vụ mùa với quy mô 17,4 ha với 70 hộ tham gia, tổng kinh phí hỗ trợ là 248 triệu đồng, đạt 5% kế hoạch vốn giao. </w:t>
      </w:r>
      <w:r>
        <w:rPr>
          <w:bCs/>
          <w:sz w:val="28"/>
          <w:szCs w:val="28"/>
        </w:rPr>
        <w:t>Kinh phí thực hiện giải ngân dự án 0 đồng.</w:t>
      </w:r>
    </w:p>
    <w:p>
      <w:pPr>
        <w:spacing w:before="120"/>
        <w:ind w:firstLine="709"/>
        <w:jc w:val="both"/>
        <w:rPr>
          <w:bCs/>
          <w:spacing w:val="-2"/>
          <w:sz w:val="28"/>
          <w:szCs w:val="28"/>
        </w:rPr>
      </w:pPr>
      <w:r>
        <w:rPr>
          <w:b/>
          <w:sz w:val="28"/>
          <w:szCs w:val="28"/>
        </w:rPr>
        <w:t xml:space="preserve">3.2. Tiểu dự án 2. Cải thiện dinh dưỡng: </w:t>
      </w:r>
      <w:r>
        <w:rPr>
          <w:bCs/>
          <w:spacing w:val="-2"/>
          <w:sz w:val="28"/>
          <w:szCs w:val="28"/>
        </w:rPr>
        <w:t xml:space="preserve">UBND huyện đã bố trí 1.365.000.000 đồng để thực hiện các hoạt động của dự án. Giao Phòng Y tế huyện chủ trì, phối hợp với các cơ quan, đơn vị liên quan và UBND các xã, thị trấn tổ chức triển khai thực hiện. Đến thời điểm hiện tại, Phòng Y tế huyện đã phối hợp với UBND các xã, thị trấn tổ chức truyền thông hướng dẫn về dinh dưỡng, phòng, chống suy dinh dưỡng cho 484 người tham dự; mua thước đo chiều dài nằm và chiều cao đứng để thực hiện đánh giá tình trạng dinh dưỡng của trẻ 2 đợt/năm. Hiện tại đã giải ngân được 144.270.000 đồng, </w:t>
      </w:r>
      <w:r>
        <w:rPr>
          <w:sz w:val="28"/>
          <w:szCs w:val="28"/>
        </w:rPr>
        <w:t>đạt 10,5% nguồn vốn được giao</w:t>
      </w:r>
      <w:r>
        <w:rPr>
          <w:spacing w:val="-4"/>
          <w:sz w:val="28"/>
          <w:szCs w:val="28"/>
        </w:rPr>
        <w:t>.</w:t>
      </w:r>
    </w:p>
    <w:p>
      <w:pPr>
        <w:spacing w:before="120"/>
        <w:ind w:firstLine="709"/>
        <w:jc w:val="both"/>
        <w:rPr>
          <w:bCs/>
          <w:sz w:val="28"/>
          <w:szCs w:val="28"/>
        </w:rPr>
      </w:pPr>
      <w:r>
        <w:rPr>
          <w:b/>
          <w:bCs/>
          <w:sz w:val="28"/>
          <w:szCs w:val="28"/>
        </w:rPr>
        <w:t>4. Dự án 4: Phát triển giáo dục nghề nghiệp, việc làm bền vững:</w:t>
      </w:r>
      <w:r>
        <w:rPr>
          <w:bCs/>
          <w:sz w:val="28"/>
          <w:szCs w:val="28"/>
        </w:rPr>
        <w:t xml:space="preserve"> UBND huyện được bố trí: </w:t>
      </w:r>
      <w:r>
        <w:rPr>
          <w:sz w:val="28"/>
          <w:szCs w:val="28"/>
          <w:u w:color="FFFFFF"/>
        </w:rPr>
        <w:t>6.553.918.204 đồng</w:t>
      </w:r>
      <w:r>
        <w:rPr>
          <w:bCs/>
          <w:sz w:val="28"/>
          <w:szCs w:val="28"/>
        </w:rPr>
        <w:t xml:space="preserve"> để thực hiện hỗ trợ phát triển giáo dục nghề nghiệp, việc làm bền vững. Hiện tại, UBND huyện đã giao Trung tâm Giáo dục nghề nghiệp - Giáo dục thường xuyên huyện chủ trì, phối hợp với Phòng Lao động - Thương binh và Xã hội huyện tổ chức triển khai thực hiện các nội dung dự án.</w:t>
      </w:r>
    </w:p>
    <w:p>
      <w:pPr>
        <w:spacing w:before="120"/>
        <w:jc w:val="both"/>
        <w:rPr>
          <w:bCs/>
          <w:spacing w:val="-2"/>
          <w:sz w:val="28"/>
          <w:szCs w:val="28"/>
        </w:rPr>
      </w:pPr>
      <w:r>
        <w:rPr>
          <w:b/>
          <w:sz w:val="28"/>
          <w:szCs w:val="28"/>
        </w:rPr>
        <w:tab/>
        <w:t xml:space="preserve">4.1. </w:t>
      </w:r>
      <w:r>
        <w:rPr>
          <w:b/>
          <w:sz w:val="28"/>
          <w:szCs w:val="28"/>
          <w:lang w:val="vi-VN"/>
        </w:rPr>
        <w:t>Tiểu dự án 1: Phát triển giáo dục nghề nghiệp vùng nghèo, vùng khó khăn</w:t>
      </w:r>
      <w:r>
        <w:rPr>
          <w:b/>
          <w:bCs/>
          <w:sz w:val="28"/>
          <w:szCs w:val="28"/>
        </w:rPr>
        <w:t>:</w:t>
      </w:r>
      <w:r>
        <w:rPr>
          <w:bCs/>
          <w:sz w:val="28"/>
          <w:szCs w:val="28"/>
        </w:rPr>
        <w:t xml:space="preserve"> UBND huyện bố trí giao 4.381.918.204 đồng cho Trung tâm Giáo dục nghề nghiệp - Giáo dục thường xuyên huyện và Phòng Lao động - Thương binh và Xã hội huyện tổ chức thực hiện các hoạt động của tiểu dự án (chuyển nguồn năm 2022 sang năm 2023: 1.380.918.204 đồng; năm 2023: 3.001.000.000 đồng). Dự kiến trong năm 2023 tổ chức thực hiện hỗ trợ </w:t>
      </w:r>
      <w:r>
        <w:rPr>
          <w:sz w:val="28"/>
          <w:szCs w:val="28"/>
          <w:lang w:val="vi-VN"/>
        </w:rPr>
        <w:t xml:space="preserve">cơ sở vật chất, thiết </w:t>
      </w:r>
      <w:r>
        <w:rPr>
          <w:sz w:val="28"/>
          <w:szCs w:val="28"/>
        </w:rPr>
        <w:t>bị</w:t>
      </w:r>
      <w:r>
        <w:rPr>
          <w:sz w:val="28"/>
          <w:szCs w:val="28"/>
          <w:lang w:val="vi-VN"/>
        </w:rPr>
        <w:t>, phương tiện đào tạo cho các cơ sở giáo dục nghề nghiệp</w:t>
      </w:r>
      <w:r>
        <w:rPr>
          <w:sz w:val="28"/>
          <w:szCs w:val="28"/>
        </w:rPr>
        <w:t>; x</w:t>
      </w:r>
      <w:r>
        <w:rPr>
          <w:sz w:val="28"/>
          <w:szCs w:val="28"/>
          <w:lang w:val="vi-VN"/>
        </w:rPr>
        <w:t xml:space="preserve">ây dựng các chuẩn về giáo dục nghề nghiệp; </w:t>
      </w:r>
      <w:r>
        <w:rPr>
          <w:sz w:val="28"/>
          <w:szCs w:val="28"/>
        </w:rPr>
        <w:t>k</w:t>
      </w:r>
      <w:r>
        <w:rPr>
          <w:sz w:val="28"/>
          <w:szCs w:val="28"/>
          <w:lang w:val="vi-VN"/>
        </w:rPr>
        <w:t xml:space="preserve">hảo sát, </w:t>
      </w:r>
      <w:r>
        <w:rPr>
          <w:sz w:val="28"/>
          <w:szCs w:val="28"/>
        </w:rPr>
        <w:t xml:space="preserve">thống </w:t>
      </w:r>
      <w:r>
        <w:rPr>
          <w:sz w:val="28"/>
          <w:szCs w:val="28"/>
          <w:lang w:val="vi-VN"/>
        </w:rPr>
        <w:t>kê, dự báo nhu cầu học nghề; truyền thông, hướng nghiệp, hỗ trợ khởi nghiệp và tạo việc làm</w:t>
      </w:r>
      <w:r>
        <w:rPr>
          <w:sz w:val="28"/>
          <w:szCs w:val="28"/>
        </w:rPr>
        <w:t>; đ</w:t>
      </w:r>
      <w:r>
        <w:rPr>
          <w:sz w:val="28"/>
          <w:szCs w:val="28"/>
          <w:lang w:val="vi-VN"/>
        </w:rPr>
        <w:t xml:space="preserve">ào tạo nghề cho người lao động thuộc hộ nghèo, hộ cận nghèo, hộ mới thoát nghèo, người lao động có thu nhập thấp </w:t>
      </w:r>
      <w:r>
        <w:rPr>
          <w:bCs/>
          <w:sz w:val="28"/>
          <w:szCs w:val="28"/>
        </w:rPr>
        <w:t>với tổng kinh phí thực hiện là 4.381.918.204 đồng.</w:t>
      </w:r>
      <w:r>
        <w:rPr>
          <w:bCs/>
          <w:spacing w:val="-2"/>
          <w:sz w:val="28"/>
          <w:szCs w:val="28"/>
        </w:rPr>
        <w:t xml:space="preserve"> </w:t>
      </w:r>
    </w:p>
    <w:p>
      <w:pPr>
        <w:spacing w:before="120"/>
        <w:ind w:firstLine="709"/>
        <w:jc w:val="both"/>
        <w:rPr>
          <w:sz w:val="28"/>
          <w:szCs w:val="28"/>
        </w:rPr>
      </w:pPr>
      <w:r>
        <w:rPr>
          <w:b/>
          <w:sz w:val="28"/>
          <w:szCs w:val="28"/>
        </w:rPr>
        <w:lastRenderedPageBreak/>
        <w:t xml:space="preserve">4.2. </w:t>
      </w:r>
      <w:r>
        <w:rPr>
          <w:b/>
          <w:sz w:val="28"/>
          <w:szCs w:val="28"/>
          <w:lang w:val="vi-VN"/>
        </w:rPr>
        <w:t>Tiểu dự án 2: Hỗ trợ người lao động đi làm việc ở nước ngoài theo hợp đồng</w:t>
      </w:r>
      <w:r>
        <w:rPr>
          <w:b/>
          <w:sz w:val="28"/>
          <w:szCs w:val="28"/>
        </w:rPr>
        <w:t xml:space="preserve">: </w:t>
      </w:r>
      <w:r>
        <w:rPr>
          <w:bCs/>
          <w:sz w:val="28"/>
          <w:szCs w:val="28"/>
        </w:rPr>
        <w:t>UBND huyện bố trí giao 1.171.000.000 đồng cho Phòng Lao động - Thương binh và Xã hội huyện tổ chức thực hiện các hoạt động của tiểu dự án (chuyển nguồn năm 2022 sang năm 2023</w:t>
      </w:r>
      <w:r>
        <w:rPr>
          <w:bCs/>
          <w:spacing w:val="-2"/>
          <w:sz w:val="28"/>
          <w:szCs w:val="28"/>
        </w:rPr>
        <w:t>: 258.000.000 đồng; năm 2023: 913.000.000 đồng)</w:t>
      </w:r>
      <w:r>
        <w:rPr>
          <w:bCs/>
          <w:sz w:val="28"/>
          <w:szCs w:val="28"/>
        </w:rPr>
        <w:t>. Đã tổ chức tuyên truyền cho 815 cán bộ cơ sở</w:t>
      </w:r>
      <w:r>
        <w:rPr>
          <w:sz w:val="28"/>
          <w:szCs w:val="28"/>
        </w:rPr>
        <w:t xml:space="preserve">. Kinh phí giải ngân: 0 đồng. </w:t>
      </w:r>
    </w:p>
    <w:p>
      <w:pPr>
        <w:spacing w:before="120"/>
        <w:ind w:firstLine="709"/>
        <w:jc w:val="both"/>
        <w:rPr>
          <w:sz w:val="28"/>
          <w:szCs w:val="28"/>
        </w:rPr>
      </w:pPr>
      <w:r>
        <w:rPr>
          <w:b/>
          <w:sz w:val="28"/>
          <w:szCs w:val="28"/>
        </w:rPr>
        <w:t xml:space="preserve">4.3. </w:t>
      </w:r>
      <w:r>
        <w:rPr>
          <w:b/>
          <w:sz w:val="28"/>
          <w:szCs w:val="28"/>
          <w:lang w:val="vi-VN"/>
        </w:rPr>
        <w:t>Tiểu dự án 3</w:t>
      </w:r>
      <w:r>
        <w:rPr>
          <w:b/>
          <w:sz w:val="28"/>
          <w:szCs w:val="28"/>
        </w:rPr>
        <w:t xml:space="preserve">: </w:t>
      </w:r>
      <w:r>
        <w:rPr>
          <w:b/>
          <w:sz w:val="28"/>
          <w:szCs w:val="28"/>
          <w:lang w:val="vi-VN"/>
        </w:rPr>
        <w:t>Hỗ trợ việc làm bền vững</w:t>
      </w:r>
      <w:r>
        <w:rPr>
          <w:b/>
          <w:sz w:val="28"/>
          <w:szCs w:val="28"/>
        </w:rPr>
        <w:t xml:space="preserve">: </w:t>
      </w:r>
      <w:r>
        <w:rPr>
          <w:bCs/>
          <w:sz w:val="28"/>
          <w:szCs w:val="28"/>
        </w:rPr>
        <w:t>UBND huyện bố trí giao 1.001.000.000 đồng cho Phòng Lao động - Thương binh và Xã hội huyện tổ chức thực hiện các hoạt động của tiểu dự án (chuyển nguồn năm 2022 sang năm 2023</w:t>
      </w:r>
      <w:r>
        <w:rPr>
          <w:bCs/>
          <w:spacing w:val="-2"/>
          <w:sz w:val="28"/>
          <w:szCs w:val="28"/>
        </w:rPr>
        <w:t>: 275.000.000 đồng; năm 2023: 726.000.000 đồng)</w:t>
      </w:r>
      <w:r>
        <w:rPr>
          <w:bCs/>
          <w:sz w:val="28"/>
          <w:szCs w:val="28"/>
        </w:rPr>
        <w:t>. Đã tổ chức tuyên truyền cho 815 cán bộ cơ sở</w:t>
      </w:r>
      <w:r>
        <w:rPr>
          <w:sz w:val="28"/>
          <w:szCs w:val="28"/>
        </w:rPr>
        <w:t xml:space="preserve">. Kinh phí giải ngân: 0 đồng. </w:t>
      </w:r>
    </w:p>
    <w:p>
      <w:pPr>
        <w:spacing w:before="120"/>
        <w:ind w:firstLine="709"/>
        <w:jc w:val="both"/>
        <w:rPr>
          <w:bCs/>
          <w:sz w:val="28"/>
          <w:szCs w:val="28"/>
        </w:rPr>
      </w:pPr>
      <w:r>
        <w:rPr>
          <w:b/>
          <w:bCs/>
          <w:sz w:val="28"/>
          <w:szCs w:val="28"/>
        </w:rPr>
        <w:t>5. Dự án 5: Hỗ trợ nhà ở cho hộ nghèo, hộ cận nghèo trên địa bàn các huyện nghèo:</w:t>
      </w:r>
      <w:r>
        <w:rPr>
          <w:bCs/>
          <w:sz w:val="28"/>
          <w:szCs w:val="28"/>
        </w:rPr>
        <w:t xml:space="preserve"> UBND huyện bố trí giao 7.360.000.000 đồng cho UBND các xã, thị trấn chủ trì tổ chức thực hiện nội dung dự án. Dự kiến năm 2023 thực hiện hỗ trợ nhà ở (làm mới, sửa chữa) cho 215 hộ nghèo, hộ cận nghèo trên địa bàn.</w:t>
      </w:r>
    </w:p>
    <w:p>
      <w:pPr>
        <w:spacing w:before="120"/>
        <w:ind w:firstLine="709"/>
        <w:jc w:val="both"/>
        <w:rPr>
          <w:bCs/>
          <w:spacing w:val="-4"/>
          <w:sz w:val="28"/>
          <w:szCs w:val="28"/>
        </w:rPr>
      </w:pPr>
      <w:r>
        <w:rPr>
          <w:bCs/>
          <w:spacing w:val="-4"/>
          <w:sz w:val="28"/>
          <w:szCs w:val="28"/>
        </w:rPr>
        <w:t>UBND các xã, thị trấn đã có Tờ trình đề nghị UBND huyện phê duyệt danh sách, định mức hỗ trợ đối với các hộ nghèo, hộ cận nghèo đề nghị hỗ trợ làm nhà ở năm 2023. Tuy nhiên đến thời điểm hiện tại vẫn chưa thực hiện hỗ trợ các hộ nghèo, hộ cận nghèo có nhu cầu hỗ trợ về nhà ở. Do UBND huyện chưa cân đối được số tiền chênh lệch hỗ trợ: 10.000.000 đồng/hộ so với định mức hỗ trợ quy định tại Quyết định số 02/QĐ-TTg ngày 18/01/2022 của Thủ tướng Chính phủ và Nghị quyết 10/2022/NQ-HĐND ngày 08/7/2022 của HĐND tỉnh Điện Biên để hỗ trợ các hộ nghèo, hộ cận nghèo trên địa bàn.</w:t>
      </w:r>
    </w:p>
    <w:p>
      <w:pPr>
        <w:spacing w:before="120"/>
        <w:ind w:firstLine="709"/>
        <w:jc w:val="both"/>
        <w:rPr>
          <w:bCs/>
          <w:sz w:val="28"/>
          <w:szCs w:val="28"/>
        </w:rPr>
      </w:pPr>
      <w:r>
        <w:rPr>
          <w:b/>
          <w:bCs/>
          <w:sz w:val="28"/>
          <w:szCs w:val="28"/>
        </w:rPr>
        <w:t>6. Dự án 6: Truyền thông và giảm nghèo về thông tin:</w:t>
      </w:r>
      <w:r>
        <w:rPr>
          <w:bCs/>
          <w:sz w:val="28"/>
          <w:szCs w:val="28"/>
        </w:rPr>
        <w:t xml:space="preserve"> UBND huyện đã được bố trí: 1.887.099.000 đồng để thực hiện hỗ trợ truyền thông và giảm nghèo về thông tin. Hiện tại UBND huyện đã giao Phòng Văn hóa và Thông tin, Trung tâm Văn hóa - Truyền thanh - Truyền hình huyện và Phòng Lao động - Thương binh và Xã hội huyện tổ chức triển khai thực hiện các nội dung hỗ trợ trên địa bàn. Kinh phí thực hiện giải ngân 0 đồng.</w:t>
      </w:r>
    </w:p>
    <w:p>
      <w:pPr>
        <w:spacing w:before="120"/>
        <w:ind w:firstLine="709"/>
        <w:jc w:val="both"/>
        <w:rPr>
          <w:bCs/>
          <w:spacing w:val="-4"/>
          <w:sz w:val="28"/>
          <w:szCs w:val="28"/>
        </w:rPr>
      </w:pPr>
      <w:r>
        <w:rPr>
          <w:b/>
          <w:spacing w:val="-4"/>
          <w:sz w:val="28"/>
          <w:szCs w:val="28"/>
        </w:rPr>
        <w:t xml:space="preserve">6.1. </w:t>
      </w:r>
      <w:r>
        <w:rPr>
          <w:b/>
          <w:spacing w:val="-4"/>
          <w:sz w:val="28"/>
          <w:szCs w:val="28"/>
          <w:lang w:val="vi-VN"/>
        </w:rPr>
        <w:t>Tiểu dự án 1: Giảm nghèo về thông tin</w:t>
      </w:r>
      <w:r>
        <w:rPr>
          <w:b/>
          <w:spacing w:val="-4"/>
          <w:sz w:val="28"/>
          <w:szCs w:val="28"/>
        </w:rPr>
        <w:t xml:space="preserve">: </w:t>
      </w:r>
      <w:r>
        <w:rPr>
          <w:bCs/>
          <w:spacing w:val="-4"/>
          <w:sz w:val="28"/>
          <w:szCs w:val="28"/>
        </w:rPr>
        <w:t xml:space="preserve">UBND huyện bố trí 1.537.000.000 đồng (trong đó: Chuyển nguồn năm 2022 sang năm 2023: 271.000.000 đồng; giao năm 2023: 1.266.000.000 đồng), giao Phòng Văn hóa và Thông tin huyện tổ chức thực hiện đầu tư thiết lập mới cụm loa đài truyền thanh tại 3 xã: Sín Chải, Tả Sìn Thàng, Tả Phìn; nâng cấp, mở rộng cụm loa đài truyền thanh xã Lao Xả Phình. </w:t>
      </w:r>
      <w:r>
        <w:rPr>
          <w:spacing w:val="-4"/>
          <w:sz w:val="28"/>
          <w:szCs w:val="28"/>
        </w:rPr>
        <w:t>Kinh phí ước giải ngân 9 tháng: 1.537.000.000 đồng.</w:t>
      </w:r>
    </w:p>
    <w:p>
      <w:pPr>
        <w:spacing w:before="120"/>
        <w:ind w:firstLine="709"/>
        <w:jc w:val="both"/>
        <w:rPr>
          <w:bCs/>
          <w:spacing w:val="-4"/>
          <w:sz w:val="28"/>
          <w:szCs w:val="28"/>
        </w:rPr>
      </w:pPr>
      <w:r>
        <w:rPr>
          <w:b/>
          <w:spacing w:val="-4"/>
          <w:sz w:val="28"/>
          <w:szCs w:val="28"/>
        </w:rPr>
        <w:t xml:space="preserve">6.2. </w:t>
      </w:r>
      <w:r>
        <w:rPr>
          <w:b/>
          <w:spacing w:val="-4"/>
          <w:sz w:val="28"/>
          <w:szCs w:val="28"/>
          <w:lang w:val="vi-VN"/>
        </w:rPr>
        <w:t>Tiểu dự án 2: Truyền thông về giảm nghèo đa chiều</w:t>
      </w:r>
      <w:r>
        <w:rPr>
          <w:b/>
          <w:spacing w:val="-4"/>
          <w:sz w:val="28"/>
          <w:szCs w:val="28"/>
        </w:rPr>
        <w:t>:</w:t>
      </w:r>
      <w:r>
        <w:rPr>
          <w:bCs/>
          <w:spacing w:val="-4"/>
          <w:sz w:val="28"/>
          <w:szCs w:val="28"/>
        </w:rPr>
        <w:t xml:space="preserve"> UBND huyện bố trí giao 350.099.000 triệu đồng giao Phòng Lao động - Thương binh và Xã hội huyện. Hiện tại đang tổ chức triển khai thực hiện các nội dung của tiểu dự án theo kế hoạch với tổng kinh phí ước thực hiện giải ngân cuối năm: 350.099.000 đồng.</w:t>
      </w:r>
    </w:p>
    <w:p>
      <w:pPr>
        <w:spacing w:before="120"/>
        <w:ind w:firstLine="709"/>
        <w:jc w:val="both"/>
        <w:rPr>
          <w:sz w:val="28"/>
          <w:szCs w:val="28"/>
        </w:rPr>
      </w:pPr>
      <w:r>
        <w:rPr>
          <w:b/>
          <w:bCs/>
          <w:sz w:val="28"/>
          <w:szCs w:val="28"/>
        </w:rPr>
        <w:t>7. Dự án 7: Nâng cao năng lực và giám sát, đánh giá Chương trình:</w:t>
      </w:r>
      <w:r>
        <w:rPr>
          <w:bCs/>
          <w:sz w:val="28"/>
          <w:szCs w:val="28"/>
        </w:rPr>
        <w:t xml:space="preserve"> UBND huyện đã được bố trí: 1.286.739.000 đồng để thực hiện nâng cao năng lực và giám sát, đánh giá Chương trình, cụ thể như sau:</w:t>
      </w:r>
    </w:p>
    <w:p>
      <w:pPr>
        <w:spacing w:before="120"/>
        <w:ind w:firstLine="709"/>
        <w:jc w:val="both"/>
        <w:rPr>
          <w:sz w:val="28"/>
          <w:szCs w:val="28"/>
        </w:rPr>
      </w:pPr>
      <w:r>
        <w:rPr>
          <w:b/>
          <w:sz w:val="28"/>
          <w:szCs w:val="28"/>
        </w:rPr>
        <w:lastRenderedPageBreak/>
        <w:t xml:space="preserve">7.1. </w:t>
      </w:r>
      <w:r>
        <w:rPr>
          <w:b/>
          <w:sz w:val="28"/>
          <w:szCs w:val="28"/>
          <w:lang w:val="vi-VN"/>
        </w:rPr>
        <w:t>Tiểu dự án 1: Nâng cao năng lực thực hiện Chương trình</w:t>
      </w:r>
      <w:r>
        <w:rPr>
          <w:b/>
          <w:sz w:val="28"/>
          <w:szCs w:val="28"/>
        </w:rPr>
        <w:t xml:space="preserve">: </w:t>
      </w:r>
      <w:r>
        <w:rPr>
          <w:bCs/>
          <w:sz w:val="28"/>
          <w:szCs w:val="28"/>
        </w:rPr>
        <w:t>UBND bố trí giao 869.868.000 đồng giao Phòng Lao động - Thương binh và Xã hội huyện tổ chức thực hiện các hoạt động của tiểu dự án (chuyển nguồn năm 2022 sang năm 2023</w:t>
      </w:r>
      <w:r>
        <w:rPr>
          <w:bCs/>
          <w:spacing w:val="-2"/>
          <w:sz w:val="28"/>
          <w:szCs w:val="28"/>
        </w:rPr>
        <w:t>: 93.868.000 đồng; năm 2023: 776.000.000 đồng)</w:t>
      </w:r>
      <w:r>
        <w:rPr>
          <w:bCs/>
          <w:sz w:val="28"/>
          <w:szCs w:val="28"/>
        </w:rPr>
        <w:t>. Đã tổ chức thực hiện mở 04 lớp tập huấn nâng cao năng lực cho 815 cán bộ làm công tác giảm nghèo cấp cơ sở</w:t>
      </w:r>
      <w:r>
        <w:rPr>
          <w:sz w:val="28"/>
          <w:szCs w:val="28"/>
        </w:rPr>
        <w:t xml:space="preserve">. </w:t>
      </w:r>
      <w:r>
        <w:rPr>
          <w:bCs/>
          <w:sz w:val="28"/>
          <w:szCs w:val="28"/>
        </w:rPr>
        <w:t xml:space="preserve">Kinh phí thực hiện giải ngân 754.273.000 đồng, đạt 87% so với nguồn vốn được giao. </w:t>
      </w:r>
    </w:p>
    <w:p>
      <w:pPr>
        <w:spacing w:before="120"/>
        <w:ind w:firstLine="709"/>
        <w:jc w:val="both"/>
        <w:rPr>
          <w:rStyle w:val="BodyTextChar1"/>
          <w:bCs/>
          <w:sz w:val="28"/>
          <w:szCs w:val="28"/>
        </w:rPr>
      </w:pPr>
      <w:r>
        <w:rPr>
          <w:b/>
          <w:sz w:val="28"/>
          <w:szCs w:val="28"/>
        </w:rPr>
        <w:t xml:space="preserve">7.2. </w:t>
      </w:r>
      <w:r>
        <w:rPr>
          <w:b/>
          <w:sz w:val="28"/>
          <w:szCs w:val="28"/>
          <w:lang w:val="vi-VN"/>
        </w:rPr>
        <w:t>Tiểu dự án 2: Giám sát, đánh giá</w:t>
      </w:r>
      <w:r>
        <w:rPr>
          <w:b/>
          <w:sz w:val="28"/>
          <w:szCs w:val="28"/>
        </w:rPr>
        <w:t xml:space="preserve">: </w:t>
      </w:r>
      <w:r>
        <w:rPr>
          <w:bCs/>
          <w:sz w:val="28"/>
          <w:szCs w:val="28"/>
        </w:rPr>
        <w:t>UBND huyện bố trí giao 416.871.000 đồng cho Phòng Lao động - Thương binh và Xã hội huyện và UBND các xã, thị trấn tổ chức thực hiện các hoạt động của tiểu dự án chuyển nguồn năm 2022 sang năm 2023</w:t>
      </w:r>
      <w:r>
        <w:rPr>
          <w:bCs/>
          <w:spacing w:val="-2"/>
          <w:sz w:val="28"/>
          <w:szCs w:val="28"/>
        </w:rPr>
        <w:t>: 40.871.000 đồng; năm 2023: 376.000.000 đồng (giao UBND các xã, thị trấn: 120.000.000 đồng)</w:t>
      </w:r>
      <w:r>
        <w:rPr>
          <w:bCs/>
          <w:sz w:val="28"/>
          <w:szCs w:val="28"/>
        </w:rPr>
        <w:t>. Trong năm 2023 tổ chức 02 đợt kiểm tra, giám sát, đánh giá công tác tổ chức triển khai thực hiện các nội dung, hoạt động của Chương trình mục tiêu quốc gia giảm nghèo bền vững trên địa bàn 12/12 xã, thị trấn. Kinh phí ước thực hiện giải ngân đến cuối năm 2023 đạt 100% so với nguồn vốn được giao.</w:t>
      </w:r>
    </w:p>
    <w:p>
      <w:pPr>
        <w:widowControl w:val="0"/>
        <w:pBdr>
          <w:bottom w:val="single" w:sz="4" w:space="5" w:color="FFFFFF"/>
        </w:pBdr>
        <w:spacing w:before="120"/>
        <w:ind w:firstLine="709"/>
        <w:jc w:val="both"/>
        <w:rPr>
          <w:b/>
          <w:sz w:val="28"/>
        </w:rPr>
      </w:pPr>
      <w:r>
        <w:rPr>
          <w:b/>
          <w:bCs/>
          <w:iCs/>
          <w:sz w:val="28"/>
          <w:szCs w:val="28"/>
          <w:u w:color="FFFFFF"/>
        </w:rPr>
        <w:t>IV. TỒN TẠI, HẠN CHẾ VÀ NGUYÊN NHÂN</w:t>
      </w:r>
    </w:p>
    <w:p>
      <w:pPr>
        <w:spacing w:before="120"/>
        <w:ind w:firstLine="709"/>
        <w:jc w:val="both"/>
        <w:rPr>
          <w:b/>
          <w:sz w:val="28"/>
          <w:szCs w:val="28"/>
        </w:rPr>
      </w:pPr>
      <w:r>
        <w:rPr>
          <w:b/>
          <w:sz w:val="28"/>
          <w:szCs w:val="28"/>
        </w:rPr>
        <w:tab/>
        <w:t>1. T</w:t>
      </w:r>
      <w:r>
        <w:rPr>
          <w:b/>
          <w:sz w:val="28"/>
          <w:szCs w:val="28"/>
          <w:lang w:val="vi-VN"/>
        </w:rPr>
        <w:t>ồn tại, hạn chế</w:t>
      </w:r>
      <w:r>
        <w:rPr>
          <w:b/>
          <w:sz w:val="28"/>
          <w:szCs w:val="28"/>
        </w:rPr>
        <w:t xml:space="preserve"> </w:t>
      </w:r>
    </w:p>
    <w:p>
      <w:pPr>
        <w:pStyle w:val="NormalWeb"/>
        <w:widowControl w:val="0"/>
        <w:spacing w:before="120" w:beforeAutospacing="0" w:after="0" w:afterAutospacing="0"/>
        <w:ind w:firstLine="709"/>
        <w:jc w:val="both"/>
        <w:rPr>
          <w:sz w:val="28"/>
          <w:szCs w:val="28"/>
        </w:rPr>
      </w:pPr>
      <w:r>
        <w:rPr>
          <w:sz w:val="28"/>
          <w:szCs w:val="28"/>
        </w:rPr>
        <w:t>- Các dự án hỗ trợ phát triển sản xuất lĩnh vực nông nghiệp tiến độ triển khai thực hiện còn chậm.</w:t>
      </w:r>
    </w:p>
    <w:p>
      <w:pPr>
        <w:pStyle w:val="NormalWeb"/>
        <w:widowControl w:val="0"/>
        <w:spacing w:before="120" w:beforeAutospacing="0" w:after="0" w:afterAutospacing="0"/>
        <w:ind w:firstLine="709"/>
        <w:jc w:val="both"/>
        <w:rPr>
          <w:bCs/>
          <w:sz w:val="28"/>
          <w:szCs w:val="28"/>
        </w:rPr>
      </w:pPr>
      <w:r>
        <w:rPr>
          <w:bCs/>
          <w:sz w:val="28"/>
          <w:szCs w:val="28"/>
        </w:rPr>
        <w:t>- Các tiểu dự án thuộc Dự án 4: Phát triển giáo dục nghề nghiệp, việc làm bền vững khó thực hiện giải ngân.</w:t>
      </w:r>
    </w:p>
    <w:p>
      <w:pPr>
        <w:spacing w:before="120"/>
        <w:ind w:firstLine="709"/>
        <w:jc w:val="both"/>
        <w:rPr>
          <w:bCs/>
          <w:sz w:val="28"/>
          <w:szCs w:val="28"/>
        </w:rPr>
      </w:pPr>
      <w:r>
        <w:rPr>
          <w:bCs/>
          <w:sz w:val="28"/>
          <w:szCs w:val="28"/>
        </w:rPr>
        <w:t>- Số lượng người lao động đăng ký đi làm việc ở nước ngoài theo hợp đồng còn hạn chế, hồ sơ đề nghị hỗ trợ của người lao động đi làm việc ở nước ngoài theo hợp đồng không đáp ứng được điều kiện về hóa đơn, biên lai hợp pháp theo yêu cầu.</w:t>
      </w:r>
    </w:p>
    <w:p>
      <w:pPr>
        <w:pStyle w:val="NormalWeb"/>
        <w:widowControl w:val="0"/>
        <w:spacing w:before="120" w:beforeAutospacing="0" w:after="0" w:afterAutospacing="0"/>
        <w:ind w:firstLine="709"/>
        <w:jc w:val="both"/>
        <w:rPr>
          <w:sz w:val="28"/>
          <w:szCs w:val="28"/>
        </w:rPr>
      </w:pPr>
      <w:r>
        <w:rPr>
          <w:bCs/>
          <w:sz w:val="28"/>
          <w:szCs w:val="28"/>
        </w:rPr>
        <w:t xml:space="preserve">- Dự án 5: Hỗ trợ nhà ở cho hộ nghèo, hộ cận nghèo trên địa bàn các huyện nghèo </w:t>
      </w:r>
      <w:r>
        <w:rPr>
          <w:sz w:val="28"/>
          <w:szCs w:val="28"/>
        </w:rPr>
        <w:t>tiến độ triển khai thực hiện còn chậm.</w:t>
      </w:r>
    </w:p>
    <w:p>
      <w:pPr>
        <w:pStyle w:val="NormalWeb"/>
        <w:widowControl w:val="0"/>
        <w:spacing w:before="120" w:beforeAutospacing="0" w:after="0" w:afterAutospacing="0"/>
        <w:ind w:firstLine="709"/>
        <w:jc w:val="both"/>
        <w:rPr>
          <w:spacing w:val="-4"/>
          <w:sz w:val="28"/>
          <w:szCs w:val="28"/>
        </w:rPr>
      </w:pPr>
      <w:r>
        <w:rPr>
          <w:spacing w:val="-4"/>
          <w:sz w:val="28"/>
          <w:szCs w:val="28"/>
        </w:rPr>
        <w:t>- Tỷ lệ hộ nghèo trên địa bàn còn cao, cơ sở hạ tầng của các xã thiếu, chưa đồng bộ, trong khi khả năng huy động nguồn lực của huyện còn hạn chế (chủ yếu phụ thuộc vào ngân sách Trung ương);</w:t>
      </w:r>
    </w:p>
    <w:p>
      <w:pPr>
        <w:widowControl w:val="0"/>
        <w:shd w:val="clear" w:color="auto" w:fill="FFFFFF"/>
        <w:spacing w:before="120"/>
        <w:ind w:firstLine="709"/>
        <w:jc w:val="both"/>
        <w:rPr>
          <w:sz w:val="28"/>
          <w:szCs w:val="28"/>
        </w:rPr>
      </w:pPr>
      <w:r>
        <w:rPr>
          <w:sz w:val="28"/>
          <w:szCs w:val="28"/>
        </w:rPr>
        <w:t>- Năng lực của một số cán bộ cơ sở còn hạn chế, trình độ nhận thức của người dân chưa đồng đều, còn tư tưởng trông chờ vào sự hỗ trợ, đầu tư của Nhà nước, chưa chủ động vươn lên để thoát nghèo một cách bền vững;</w:t>
      </w:r>
    </w:p>
    <w:p>
      <w:pPr>
        <w:pStyle w:val="NormalWeb"/>
        <w:widowControl w:val="0"/>
        <w:spacing w:before="120" w:beforeAutospacing="0" w:after="0" w:afterAutospacing="0"/>
        <w:ind w:firstLine="709"/>
        <w:jc w:val="both"/>
        <w:rPr>
          <w:sz w:val="28"/>
          <w:szCs w:val="28"/>
        </w:rPr>
      </w:pPr>
      <w:r>
        <w:rPr>
          <w:sz w:val="28"/>
          <w:szCs w:val="28"/>
        </w:rPr>
        <w:t>- Công tác theo dõi, tổng hợp, báo cáo của nhiều đơn vị được giao nhiệm vụ thực hiện Chương trình chưa thường xuyên, chưa hiệu quả, một số đơn vị chưa tuân thủ thời hạn báo cáo định kỳ.</w:t>
      </w:r>
    </w:p>
    <w:p>
      <w:pPr>
        <w:pStyle w:val="NormalWeb"/>
        <w:widowControl w:val="0"/>
        <w:spacing w:before="120" w:beforeAutospacing="0" w:after="0" w:afterAutospacing="0"/>
        <w:ind w:firstLine="709"/>
        <w:jc w:val="both"/>
        <w:rPr>
          <w:b/>
          <w:sz w:val="28"/>
          <w:szCs w:val="28"/>
        </w:rPr>
      </w:pPr>
      <w:r>
        <w:rPr>
          <w:b/>
          <w:sz w:val="28"/>
          <w:szCs w:val="28"/>
        </w:rPr>
        <w:t>2. Nguyên nhân</w:t>
      </w:r>
    </w:p>
    <w:p>
      <w:pPr>
        <w:shd w:val="clear" w:color="auto" w:fill="FFFFFF"/>
        <w:spacing w:before="120"/>
        <w:ind w:firstLine="720"/>
        <w:jc w:val="both"/>
        <w:rPr>
          <w:sz w:val="28"/>
          <w:szCs w:val="28"/>
        </w:rPr>
      </w:pPr>
      <w:r>
        <w:rPr>
          <w:sz w:val="28"/>
          <w:szCs w:val="28"/>
        </w:rPr>
        <w:lastRenderedPageBreak/>
        <w:t>- Chương trình mục tiêu quốc gia giảm nghèo bền vững giai đoạn 2021-2025 có nhiều nội dung, chính sách mới, khối lượng văn bản áp dụng lớn, có nhiều nội dung khó thực hiện do chưa có văn bản hướng dẫn cụ thể chi tiết; nhiều văn bản trả lời, giải đáp những khó khăn, vướng mắc của cấp tỉnh và trung ương còn chung chung khi trả lời vướng mắc của cấp huyện; có nội dung phải chờ văn bản sửa đổi bổ sung; có nội dung chậm ban hành (cơ chế quay vòng của UBND tỉnh); thiếu văn bản hướng dẫn của tỉnh hướng dẫn cụ thể thủ tục hồ sơ nghiệm thu, thanh toán đối với các dự án hỗ trợ phát triển sản xuất cộng đồng; có nội dung cần đợi thiết kế mẫu (chuồng trại chăn nuôi);….</w:t>
      </w:r>
    </w:p>
    <w:p>
      <w:pPr>
        <w:shd w:val="clear" w:color="auto" w:fill="FFFFFF"/>
        <w:spacing w:before="120"/>
        <w:ind w:firstLine="720"/>
        <w:jc w:val="both"/>
        <w:rPr>
          <w:sz w:val="28"/>
          <w:szCs w:val="28"/>
        </w:rPr>
      </w:pPr>
      <w:r>
        <w:rPr>
          <w:sz w:val="28"/>
          <w:szCs w:val="28"/>
        </w:rPr>
        <w:t>- Nội dung hỗ trợ thuộc Dự án 2 và tiểu dự án 1 thuộc Dự án 3 tổ chức triển khai còn chậm do đề xuất của cộng đồng dân cư trên địa bàn huyện chủ yếu đề xuất nội dung hỗ trợ con giống gia súc (trâu, bò, dê địa phương) cho người dân để phát triển sản xuất. Tuy nhiên khi tổ chức triển khai thực hiện thì lại vướng mắc về mặt pháp lý tại văn bản hướng dẫn theo hướng dẫn của Sở Nông nghiệp và Phát triển nông thôn tỉnh Điện Biên tại số thứ tự 18, Phụ biểu kèm theo Công văn số 884/SNN-CCPTNT ngày 28/4/2023 của Sở Nông nghiệp và Phát triển nông thôn tỉnh Điện Biên về sản xuất, mua bán giống vật nuôi và sản phẩm giống vật nuôi quy định tại Mục 2, Chương II, Luật Chăn nuôi quy định về yêu cầu đối với giống vật nuôi và sản phẩm giống vật nuôi lưu thông trên thị trường phải “Đã công bố tiêu chuẩn áp dụng; có chất lượng phù hợp tiêu chuẩn công bố áp dụng; đáp ứng yêu cầu kiểm dịch theo quy định của pháp luật về thú y” và Sở cũng chưa có hướng dẫn các thủ tục thành phần hồ sơ cụ thể, do đơn vị cơ quan cấp có thẩm quyền nào xác nhận nên đến nay huyện vẫn chưa thực hiện hỗ trợ được dự án nào vì hiện nay trên địa bàn tỉnh không có tổ chức, cá nhân sản xuất, kinh doanh con giống nào đáp ứng được tiêu chuẩn theo Luật Chăn nuôi quy định.</w:t>
      </w:r>
    </w:p>
    <w:p>
      <w:pPr>
        <w:shd w:val="clear" w:color="auto" w:fill="FFFFFF"/>
        <w:spacing w:before="120"/>
        <w:ind w:firstLine="720"/>
        <w:jc w:val="both"/>
        <w:rPr>
          <w:sz w:val="28"/>
          <w:szCs w:val="28"/>
          <w:lang w:val="en-GB"/>
        </w:rPr>
      </w:pPr>
      <w:r>
        <w:rPr>
          <w:sz w:val="28"/>
          <w:szCs w:val="28"/>
        </w:rPr>
        <w:t>- Hiện nay tỉnh chưa có các văn bản sửa đổi</w:t>
      </w:r>
      <w:r>
        <w:rPr>
          <w:sz w:val="28"/>
          <w:szCs w:val="28"/>
          <w:lang w:val="en-GB"/>
        </w:rPr>
        <w:t>, bổ sung một số các văn bản của tỉnh để phù hợp với quy định tại Nghị định số 38/2023/NĐ-CP ngày 24/6/2023 của Chính phủ. Các Sở, ban ngành chưa ban hành các hướng dẫn về trình tự thủ tục nghiệm thu, thanh quyết toán đối với dự án hỗ trợ phát triển sản xuất cộng đồng như: các mẫu hợp đồng giữa chủ đầu tư với người đại diện cộng đồng, mẫu hợp đồng thuê khoán cán bộ hướng dẫn kỹ thuật, biên bản nghiệm thu theo giai đoạn, giấy đề nghị thanh toán kinh phí hỗ trợ….</w:t>
      </w:r>
    </w:p>
    <w:p>
      <w:pPr>
        <w:shd w:val="clear" w:color="auto" w:fill="FFFFFF"/>
        <w:spacing w:before="120"/>
        <w:ind w:firstLine="720"/>
        <w:jc w:val="both"/>
        <w:rPr>
          <w:sz w:val="28"/>
          <w:szCs w:val="28"/>
        </w:rPr>
      </w:pPr>
      <w:r>
        <w:rPr>
          <w:bCs/>
          <w:spacing w:val="-2"/>
          <w:sz w:val="28"/>
          <w:szCs w:val="28"/>
        </w:rPr>
        <w:t xml:space="preserve">- Nội dung hỗ trợ </w:t>
      </w:r>
      <w:r>
        <w:rPr>
          <w:sz w:val="28"/>
          <w:szCs w:val="28"/>
          <w:lang w:val="vi-VN"/>
        </w:rPr>
        <w:t xml:space="preserve">cơ sở vật chất, thiết </w:t>
      </w:r>
      <w:r>
        <w:rPr>
          <w:sz w:val="28"/>
          <w:szCs w:val="28"/>
        </w:rPr>
        <w:t>bị</w:t>
      </w:r>
      <w:r>
        <w:rPr>
          <w:sz w:val="28"/>
          <w:szCs w:val="28"/>
          <w:lang w:val="vi-VN"/>
        </w:rPr>
        <w:t xml:space="preserve">, phương tiện đào tạo cho </w:t>
      </w:r>
      <w:r>
        <w:rPr>
          <w:sz w:val="28"/>
          <w:szCs w:val="28"/>
        </w:rPr>
        <w:t>Trung tâm Giáo dục Nghề nghiệp - Giáo dục Thường xuyên huyện đang không tổ chức triển khai thực hiện được do Trung tâm Giáo dục Nghề nghiệp - Giáo dục Thường xuyên huyện không phải là</w:t>
      </w:r>
      <w:r>
        <w:rPr>
          <w:sz w:val="28"/>
          <w:szCs w:val="28"/>
          <w:lang w:val="vi-VN"/>
        </w:rPr>
        <w:t xml:space="preserve"> cơ sở giáo dục nghề nghiệp</w:t>
      </w:r>
      <w:r>
        <w:rPr>
          <w:sz w:val="28"/>
          <w:szCs w:val="28"/>
        </w:rPr>
        <w:t xml:space="preserve"> theo khoản 1 Điều 5 của Luật Giáo dục nghề nghiệp và khoản 1 Điều 44 của Luật Giáo dục nên không thuộc đối tượng được hỗ trợ sửa chữa, bảo dưỡng tài sản, một số hạng mục công trình, mua sắm máy móc, trang thiết bị, phương tiện đào tạo từ nguồn vốn thuộc các Chương trình mục tiêu quốc gia.</w:t>
      </w:r>
    </w:p>
    <w:p>
      <w:pPr>
        <w:spacing w:before="120"/>
        <w:ind w:firstLine="709"/>
        <w:jc w:val="both"/>
        <w:rPr>
          <w:spacing w:val="-2"/>
          <w:sz w:val="28"/>
          <w:szCs w:val="28"/>
        </w:rPr>
      </w:pPr>
      <w:r>
        <w:rPr>
          <w:bCs/>
          <w:spacing w:val="-2"/>
          <w:sz w:val="28"/>
          <w:szCs w:val="28"/>
        </w:rPr>
        <w:t xml:space="preserve">- Người lao động trên địa bàn đa số là người dân tộc tộc thiểu số nên còn có tâm lý lo sợ, dè chừng khi đi làm việc ở nước ngoài theo hợp đồng; </w:t>
      </w:r>
      <w:r>
        <w:rPr>
          <w:spacing w:val="-2"/>
          <w:sz w:val="28"/>
          <w:szCs w:val="28"/>
        </w:rPr>
        <w:t xml:space="preserve">đối với trường </w:t>
      </w:r>
      <w:r>
        <w:rPr>
          <w:spacing w:val="-2"/>
          <w:sz w:val="28"/>
          <w:szCs w:val="28"/>
        </w:rPr>
        <w:lastRenderedPageBreak/>
        <w:t>hợp người lao động đã hoàn thành khóa học, đang chờ xuất cảnh cơ quan Lao động - Thương binh và Xã hội hỗ trợ cho đối tượng trên cơ sở hóa đơn hoặc biên lai thu tiền đào tạo, bồi dưỡng kỹ năng nghề, ngoại ngữ, khám sức khỏe, hộ chiếu, thị thực, lý lịch tư pháp và các tài liệu liên quan chứng minh người lao động thuộc đối tượng được hỗ trợ. Tuy nhiên</w:t>
      </w:r>
      <w:r>
        <w:rPr>
          <w:bCs/>
          <w:spacing w:val="-2"/>
          <w:sz w:val="28"/>
          <w:szCs w:val="28"/>
        </w:rPr>
        <w:t xml:space="preserve"> người lao động </w:t>
      </w:r>
      <w:r>
        <w:rPr>
          <w:spacing w:val="-2"/>
          <w:sz w:val="28"/>
          <w:szCs w:val="28"/>
        </w:rPr>
        <w:t>không đáp ứng được điều kiện về hóa đơn, biên lai hợp pháp theo yêu cầu do nhiều nguyên nhân như: Thời gian ngắn, không giữ lại biên lai, hóa đơn, số tiền hỗ trợ không lớn,.....</w:t>
      </w:r>
    </w:p>
    <w:p>
      <w:pPr>
        <w:spacing w:before="120"/>
        <w:ind w:firstLine="709"/>
        <w:jc w:val="both"/>
        <w:rPr>
          <w:b/>
          <w:bCs/>
          <w:sz w:val="28"/>
          <w:szCs w:val="28"/>
        </w:rPr>
      </w:pPr>
      <w:r>
        <w:rPr>
          <w:b/>
          <w:bCs/>
          <w:sz w:val="28"/>
          <w:szCs w:val="28"/>
        </w:rPr>
        <w:t>V. ĐỀ XUẤT VÀ KIẾN NGHỊ</w:t>
      </w:r>
    </w:p>
    <w:p>
      <w:pPr>
        <w:spacing w:before="120"/>
        <w:ind w:firstLine="709"/>
        <w:jc w:val="both"/>
        <w:rPr>
          <w:sz w:val="28"/>
          <w:szCs w:val="28"/>
        </w:rPr>
      </w:pPr>
      <w:r>
        <w:rPr>
          <w:b/>
          <w:bCs/>
          <w:sz w:val="28"/>
          <w:szCs w:val="28"/>
        </w:rPr>
        <w:t xml:space="preserve"> </w:t>
      </w:r>
      <w:r>
        <w:rPr>
          <w:bCs/>
          <w:sz w:val="28"/>
          <w:szCs w:val="28"/>
        </w:rPr>
        <w:t>Đề nghị UBND tỉnh, các sở, ngành tỉnh Điện Biên</w:t>
      </w:r>
      <w:r>
        <w:rPr>
          <w:sz w:val="28"/>
          <w:szCs w:val="28"/>
        </w:rPr>
        <w:t>: Kịp thời ban hành các văn bản sửa đổi</w:t>
      </w:r>
      <w:r>
        <w:rPr>
          <w:sz w:val="28"/>
          <w:szCs w:val="28"/>
          <w:lang w:val="en-GB"/>
        </w:rPr>
        <w:t>, bổ sung một số các văn bản của tỉnh để phù hợp với quy định tại Nghị định số 38/2023/NĐ-CP ngày 24/6/2023 của Chính phủ. Các Sở, ban ngành sớm ban hành các hướng dẫn về trình tự thủ tục nghiệm thu, thanh quyết toán đối với dự án hỗ trợ phát triển sản xuất cộng đồng như: Các mẫu hợp đồng giữa chủ đầu tư với người đại diện cộng đồng, mẫu hợp đồng thuê khoán cán bộ hướng dẫn kỹ thuật, biên bản nghiệm thu theo giai đoạn, giấy đề nghị thanh toán kinh phí hỗ trợ….</w:t>
      </w:r>
    </w:p>
    <w:p>
      <w:pPr>
        <w:spacing w:before="120"/>
        <w:ind w:firstLine="709"/>
        <w:jc w:val="both"/>
        <w:rPr>
          <w:sz w:val="28"/>
          <w:szCs w:val="28"/>
        </w:rPr>
      </w:pPr>
      <w:r>
        <w:rPr>
          <w:b/>
          <w:bCs/>
          <w:sz w:val="28"/>
          <w:szCs w:val="28"/>
        </w:rPr>
        <w:t>VI. PHỤ LỤC BÁO CÁO</w:t>
      </w:r>
    </w:p>
    <w:p>
      <w:pPr>
        <w:spacing w:before="120"/>
        <w:ind w:firstLine="709"/>
        <w:jc w:val="both"/>
        <w:rPr>
          <w:i/>
          <w:sz w:val="28"/>
          <w:szCs w:val="28"/>
        </w:rPr>
      </w:pPr>
      <w:r>
        <w:rPr>
          <w:i/>
          <w:sz w:val="28"/>
          <w:szCs w:val="28"/>
        </w:rPr>
        <w:t>Tổng hợp các Biểu số 01, Biểu số 02 theo đánh giá.</w:t>
      </w:r>
    </w:p>
    <w:p>
      <w:pPr>
        <w:spacing w:before="120" w:after="120"/>
        <w:jc w:val="both"/>
        <w:rPr>
          <w:bCs/>
          <w:iCs/>
          <w:sz w:val="28"/>
          <w:szCs w:val="28"/>
        </w:rPr>
      </w:pPr>
      <w:r>
        <w:rPr>
          <w:bCs/>
          <w:iCs/>
          <w:sz w:val="28"/>
          <w:szCs w:val="28"/>
        </w:rPr>
        <w:tab/>
        <w:t xml:space="preserve">Trên đây là Báo cáo </w:t>
      </w:r>
      <w:r>
        <w:rPr>
          <w:sz w:val="28"/>
          <w:szCs w:val="28"/>
        </w:rPr>
        <w:t>kết quả triển khai thực hiện Chương trình mục tiêu quốc gia giảm nghèo bền vững năm 2023 trên địa bàn huyện của UBND huyện Tủa Chùa</w:t>
      </w:r>
      <w:r>
        <w:rPr>
          <w:bCs/>
          <w:iCs/>
          <w:sz w:val="28"/>
          <w:szCs w:val="28"/>
        </w:rPr>
        <w:t>./.</w:t>
      </w:r>
    </w:p>
    <w:tbl>
      <w:tblPr>
        <w:tblW w:w="9009" w:type="dxa"/>
        <w:jc w:val="center"/>
        <w:tblLook w:val="01E0" w:firstRow="1" w:lastRow="1" w:firstColumn="1" w:lastColumn="1" w:noHBand="0" w:noVBand="0"/>
      </w:tblPr>
      <w:tblGrid>
        <w:gridCol w:w="4331"/>
        <w:gridCol w:w="4678"/>
      </w:tblGrid>
      <w:tr>
        <w:trPr>
          <w:trHeight w:val="2822"/>
          <w:jc w:val="center"/>
        </w:trPr>
        <w:tc>
          <w:tcPr>
            <w:tcW w:w="4331" w:type="dxa"/>
            <w:hideMark/>
          </w:tcPr>
          <w:p>
            <w:pPr>
              <w:widowControl w:val="0"/>
              <w:ind w:left="-108"/>
              <w:jc w:val="both"/>
              <w:rPr>
                <w:b/>
                <w:i/>
                <w:lang w:val="de-DE"/>
              </w:rPr>
            </w:pPr>
            <w:r>
              <w:rPr>
                <w:b/>
                <w:i/>
                <w:lang w:val="de-DE"/>
              </w:rPr>
              <w:t>Nơi nhận:</w:t>
            </w:r>
          </w:p>
          <w:p>
            <w:pPr>
              <w:widowControl w:val="0"/>
              <w:ind w:left="-108"/>
              <w:jc w:val="both"/>
              <w:rPr>
                <w:sz w:val="22"/>
                <w:szCs w:val="22"/>
                <w:lang w:val="de-DE"/>
              </w:rPr>
            </w:pPr>
            <w:r>
              <w:rPr>
                <w:sz w:val="22"/>
                <w:szCs w:val="22"/>
                <w:lang w:val="de-DE"/>
              </w:rPr>
              <w:t>- Lãnh đạo UBND huyện;</w:t>
            </w:r>
          </w:p>
          <w:p>
            <w:pPr>
              <w:widowControl w:val="0"/>
              <w:ind w:left="-108"/>
              <w:rPr>
                <w:sz w:val="22"/>
                <w:szCs w:val="22"/>
                <w:lang w:val="de-DE"/>
              </w:rPr>
            </w:pPr>
            <w:r>
              <w:rPr>
                <w:sz w:val="22"/>
                <w:szCs w:val="22"/>
                <w:lang w:val="de-DE"/>
              </w:rPr>
              <w:t>- Thành viên BCĐ các CTMTQG huyện;</w:t>
            </w:r>
          </w:p>
          <w:p>
            <w:pPr>
              <w:widowControl w:val="0"/>
              <w:ind w:left="-108"/>
              <w:jc w:val="both"/>
              <w:rPr>
                <w:i/>
              </w:rPr>
            </w:pPr>
            <w:r>
              <w:rPr>
                <w:sz w:val="22"/>
                <w:szCs w:val="22"/>
              </w:rPr>
              <w:t>- Lưu: VT.</w:t>
            </w:r>
          </w:p>
        </w:tc>
        <w:tc>
          <w:tcPr>
            <w:tcW w:w="4678" w:type="dxa"/>
          </w:tcPr>
          <w:p>
            <w:pPr>
              <w:widowControl w:val="0"/>
              <w:spacing w:before="120"/>
              <w:jc w:val="center"/>
              <w:rPr>
                <w:b/>
                <w:sz w:val="26"/>
                <w:szCs w:val="26"/>
              </w:rPr>
            </w:pPr>
            <w:r>
              <w:rPr>
                <w:b/>
                <w:sz w:val="26"/>
                <w:szCs w:val="26"/>
              </w:rPr>
              <w:t>TRƯỞNG PHÒNG</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b/>
                <w:sz w:val="28"/>
                <w:szCs w:val="28"/>
              </w:rPr>
            </w:pPr>
            <w:r>
              <w:rPr>
                <w:b/>
                <w:sz w:val="28"/>
                <w:szCs w:val="28"/>
              </w:rPr>
              <w:t>Nguyễn Xuân Bắc</w:t>
            </w:r>
          </w:p>
        </w:tc>
      </w:tr>
    </w:tbl>
    <w:p>
      <w:pPr>
        <w:spacing w:before="120"/>
        <w:ind w:firstLine="709"/>
        <w:jc w:val="both"/>
        <w:rPr>
          <w:sz w:val="28"/>
          <w:szCs w:val="28"/>
        </w:rPr>
      </w:pPr>
      <w:bookmarkStart w:id="0" w:name="_GoBack"/>
      <w:bookmarkEnd w:id="0"/>
    </w:p>
    <w:sectPr>
      <w:headerReference w:type="default" r:id="rId8"/>
      <w:pgSz w:w="11906" w:h="16838" w:code="9"/>
      <w:pgMar w:top="1134" w:right="1134" w:bottom="1134" w:left="1701" w:header="72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ind w:firstLine="709"/>
        <w:jc w:val="both"/>
        <w:rPr>
          <w:sz w:val="20"/>
          <w:szCs w:val="20"/>
        </w:rPr>
      </w:pPr>
      <w:r>
        <w:rPr>
          <w:rStyle w:val="FootnoteReference"/>
          <w:sz w:val="20"/>
          <w:szCs w:val="20"/>
        </w:rPr>
        <w:footnoteRef/>
      </w:r>
      <w:r>
        <w:rPr>
          <w:sz w:val="20"/>
          <w:szCs w:val="20"/>
        </w:rPr>
        <w:t xml:space="preserve"> Kế hoạch số 65/KH-UBND ngày 16/3/2023 về việc thực hiện Chương trình Mục tiêu quốc gia giảm nghèo bền vững năm 2023 trên địa bàn huyện Tủa Chùa; Kế hoạch số 78/KH-UBND ngày 31/3/2023 về việc thực hiện Dự án 7: Nâng cao năng lực và giám sát, đánh giá thực hiện Chương trình mục tiêu quốc gia giảm nghèo bền vững năm 2023; Quyết định số 754/QĐ-UBND ngày 10/6/2023 về việc thành lập Đoàn kiểm tra, giám sát, đánh giá thực hiện Chương trình mục tiêu quốc gia giảm nghèo bền vững trên địa bàn huyện Tủa Chùa, năm 2023; Kế hoạch số 120/KH-UBND ngày 06/6/2023 về việc thực hiện Tiểu dự án 2: Truyền thông về giảm nghèo đa chiều, Dự án 6: Truyền thông và giảm nghèo về thông tin thuộc Chương trình Mục tiêu quốc gia giảm nghèo bền vững năm 2023; Hướng dẫn số 463/HD-UBND ngày 04/5/2023 về việc hướng dẫn khen thưởng thành tích trong thực hiện </w:t>
      </w:r>
      <w:r>
        <w:rPr>
          <w:sz w:val="20"/>
          <w:szCs w:val="20"/>
          <w:lang w:eastAsia="en-GB"/>
        </w:rPr>
        <w:t xml:space="preserve">phong trào thi đua </w:t>
      </w:r>
      <w:r>
        <w:rPr>
          <w:sz w:val="20"/>
          <w:szCs w:val="20"/>
        </w:rPr>
        <w:t>“Cả nước chung tay vì người nghèo - Không để ai bị bỏ lại phía sau” giai đoạn 2021-2025 trên địa bàn huyện Tủa Chùa.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269092"/>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4A60"/>
    <w:multiLevelType w:val="hybridMultilevel"/>
    <w:tmpl w:val="317CE992"/>
    <w:lvl w:ilvl="0" w:tplc="DEF03A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9E2DF3"/>
    <w:multiLevelType w:val="hybridMultilevel"/>
    <w:tmpl w:val="E9A86A8C"/>
    <w:lvl w:ilvl="0" w:tplc="F93885EA">
      <w:numFmt w:val="bullet"/>
      <w:lvlText w:val="*"/>
      <w:lvlJc w:val="left"/>
      <w:pPr>
        <w:ind w:left="197" w:hanging="212"/>
      </w:pPr>
      <w:rPr>
        <w:rFonts w:ascii="Times New Roman" w:eastAsia="Times New Roman" w:hAnsi="Times New Roman" w:cs="Times New Roman" w:hint="default"/>
        <w:i/>
        <w:w w:val="99"/>
        <w:sz w:val="28"/>
        <w:szCs w:val="28"/>
        <w:lang w:eastAsia="en-US" w:bidi="ar-SA"/>
      </w:rPr>
    </w:lvl>
    <w:lvl w:ilvl="1" w:tplc="EA56866A">
      <w:numFmt w:val="bullet"/>
      <w:lvlText w:val="•"/>
      <w:lvlJc w:val="left"/>
      <w:pPr>
        <w:ind w:left="1134" w:hanging="212"/>
      </w:pPr>
      <w:rPr>
        <w:rFonts w:hint="default"/>
        <w:lang w:eastAsia="en-US" w:bidi="ar-SA"/>
      </w:rPr>
    </w:lvl>
    <w:lvl w:ilvl="2" w:tplc="F4E6E5CE">
      <w:numFmt w:val="bullet"/>
      <w:lvlText w:val="•"/>
      <w:lvlJc w:val="left"/>
      <w:pPr>
        <w:ind w:left="2069" w:hanging="212"/>
      </w:pPr>
      <w:rPr>
        <w:rFonts w:hint="default"/>
        <w:lang w:eastAsia="en-US" w:bidi="ar-SA"/>
      </w:rPr>
    </w:lvl>
    <w:lvl w:ilvl="3" w:tplc="CCCAF022">
      <w:numFmt w:val="bullet"/>
      <w:lvlText w:val="•"/>
      <w:lvlJc w:val="left"/>
      <w:pPr>
        <w:ind w:left="3004" w:hanging="212"/>
      </w:pPr>
      <w:rPr>
        <w:rFonts w:hint="default"/>
        <w:lang w:eastAsia="en-US" w:bidi="ar-SA"/>
      </w:rPr>
    </w:lvl>
    <w:lvl w:ilvl="4" w:tplc="01EC2D2C">
      <w:numFmt w:val="bullet"/>
      <w:lvlText w:val="•"/>
      <w:lvlJc w:val="left"/>
      <w:pPr>
        <w:ind w:left="3939" w:hanging="212"/>
      </w:pPr>
      <w:rPr>
        <w:rFonts w:hint="default"/>
        <w:lang w:eastAsia="en-US" w:bidi="ar-SA"/>
      </w:rPr>
    </w:lvl>
    <w:lvl w:ilvl="5" w:tplc="66E846EE">
      <w:numFmt w:val="bullet"/>
      <w:lvlText w:val="•"/>
      <w:lvlJc w:val="left"/>
      <w:pPr>
        <w:ind w:left="4874" w:hanging="212"/>
      </w:pPr>
      <w:rPr>
        <w:rFonts w:hint="default"/>
        <w:lang w:eastAsia="en-US" w:bidi="ar-SA"/>
      </w:rPr>
    </w:lvl>
    <w:lvl w:ilvl="6" w:tplc="85CC4856">
      <w:numFmt w:val="bullet"/>
      <w:lvlText w:val="•"/>
      <w:lvlJc w:val="left"/>
      <w:pPr>
        <w:ind w:left="5809" w:hanging="212"/>
      </w:pPr>
      <w:rPr>
        <w:rFonts w:hint="default"/>
        <w:lang w:eastAsia="en-US" w:bidi="ar-SA"/>
      </w:rPr>
    </w:lvl>
    <w:lvl w:ilvl="7" w:tplc="774C220A">
      <w:numFmt w:val="bullet"/>
      <w:lvlText w:val="•"/>
      <w:lvlJc w:val="left"/>
      <w:pPr>
        <w:ind w:left="6744" w:hanging="212"/>
      </w:pPr>
      <w:rPr>
        <w:rFonts w:hint="default"/>
        <w:lang w:eastAsia="en-US" w:bidi="ar-SA"/>
      </w:rPr>
    </w:lvl>
    <w:lvl w:ilvl="8" w:tplc="4B28C9E4">
      <w:numFmt w:val="bullet"/>
      <w:lvlText w:val="•"/>
      <w:lvlJc w:val="left"/>
      <w:pPr>
        <w:ind w:left="7679" w:hanging="212"/>
      </w:pPr>
      <w:rPr>
        <w:rFonts w:hint="default"/>
        <w:lang w:eastAsia="en-US" w:bidi="ar-SA"/>
      </w:rPr>
    </w:lvl>
  </w:abstractNum>
  <w:abstractNum w:abstractNumId="2" w15:restartNumberingAfterBreak="0">
    <w:nsid w:val="3D75709F"/>
    <w:multiLevelType w:val="hybridMultilevel"/>
    <w:tmpl w:val="8B62B91A"/>
    <w:lvl w:ilvl="0" w:tplc="892A9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DC6B16"/>
    <w:multiLevelType w:val="hybridMultilevel"/>
    <w:tmpl w:val="8D545A2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502866"/>
    <w:multiLevelType w:val="hybridMultilevel"/>
    <w:tmpl w:val="2EACC3CA"/>
    <w:lvl w:ilvl="0" w:tplc="CFF481CE">
      <w:start w:val="1"/>
      <w:numFmt w:val="bullet"/>
      <w:lvlText w:val="•"/>
      <w:lvlJc w:val="left"/>
      <w:pPr>
        <w:tabs>
          <w:tab w:val="num" w:pos="720"/>
        </w:tabs>
        <w:ind w:left="720" w:hanging="360"/>
      </w:pPr>
      <w:rPr>
        <w:rFonts w:ascii="Arial" w:hAnsi="Arial" w:hint="default"/>
      </w:rPr>
    </w:lvl>
    <w:lvl w:ilvl="1" w:tplc="30A21E48" w:tentative="1">
      <w:start w:val="1"/>
      <w:numFmt w:val="bullet"/>
      <w:lvlText w:val="•"/>
      <w:lvlJc w:val="left"/>
      <w:pPr>
        <w:tabs>
          <w:tab w:val="num" w:pos="1440"/>
        </w:tabs>
        <w:ind w:left="1440" w:hanging="360"/>
      </w:pPr>
      <w:rPr>
        <w:rFonts w:ascii="Arial" w:hAnsi="Arial" w:hint="default"/>
      </w:rPr>
    </w:lvl>
    <w:lvl w:ilvl="2" w:tplc="2A9853BC" w:tentative="1">
      <w:start w:val="1"/>
      <w:numFmt w:val="bullet"/>
      <w:lvlText w:val="•"/>
      <w:lvlJc w:val="left"/>
      <w:pPr>
        <w:tabs>
          <w:tab w:val="num" w:pos="2160"/>
        </w:tabs>
        <w:ind w:left="2160" w:hanging="360"/>
      </w:pPr>
      <w:rPr>
        <w:rFonts w:ascii="Arial" w:hAnsi="Arial" w:hint="default"/>
      </w:rPr>
    </w:lvl>
    <w:lvl w:ilvl="3" w:tplc="DF822950" w:tentative="1">
      <w:start w:val="1"/>
      <w:numFmt w:val="bullet"/>
      <w:lvlText w:val="•"/>
      <w:lvlJc w:val="left"/>
      <w:pPr>
        <w:tabs>
          <w:tab w:val="num" w:pos="2880"/>
        </w:tabs>
        <w:ind w:left="2880" w:hanging="360"/>
      </w:pPr>
      <w:rPr>
        <w:rFonts w:ascii="Arial" w:hAnsi="Arial" w:hint="default"/>
      </w:rPr>
    </w:lvl>
    <w:lvl w:ilvl="4" w:tplc="698A711A" w:tentative="1">
      <w:start w:val="1"/>
      <w:numFmt w:val="bullet"/>
      <w:lvlText w:val="•"/>
      <w:lvlJc w:val="left"/>
      <w:pPr>
        <w:tabs>
          <w:tab w:val="num" w:pos="3600"/>
        </w:tabs>
        <w:ind w:left="3600" w:hanging="360"/>
      </w:pPr>
      <w:rPr>
        <w:rFonts w:ascii="Arial" w:hAnsi="Arial" w:hint="default"/>
      </w:rPr>
    </w:lvl>
    <w:lvl w:ilvl="5" w:tplc="669C0370" w:tentative="1">
      <w:start w:val="1"/>
      <w:numFmt w:val="bullet"/>
      <w:lvlText w:val="•"/>
      <w:lvlJc w:val="left"/>
      <w:pPr>
        <w:tabs>
          <w:tab w:val="num" w:pos="4320"/>
        </w:tabs>
        <w:ind w:left="4320" w:hanging="360"/>
      </w:pPr>
      <w:rPr>
        <w:rFonts w:ascii="Arial" w:hAnsi="Arial" w:hint="default"/>
      </w:rPr>
    </w:lvl>
    <w:lvl w:ilvl="6" w:tplc="368291CE" w:tentative="1">
      <w:start w:val="1"/>
      <w:numFmt w:val="bullet"/>
      <w:lvlText w:val="•"/>
      <w:lvlJc w:val="left"/>
      <w:pPr>
        <w:tabs>
          <w:tab w:val="num" w:pos="5040"/>
        </w:tabs>
        <w:ind w:left="5040" w:hanging="360"/>
      </w:pPr>
      <w:rPr>
        <w:rFonts w:ascii="Arial" w:hAnsi="Arial" w:hint="default"/>
      </w:rPr>
    </w:lvl>
    <w:lvl w:ilvl="7" w:tplc="F3B89368" w:tentative="1">
      <w:start w:val="1"/>
      <w:numFmt w:val="bullet"/>
      <w:lvlText w:val="•"/>
      <w:lvlJc w:val="left"/>
      <w:pPr>
        <w:tabs>
          <w:tab w:val="num" w:pos="5760"/>
        </w:tabs>
        <w:ind w:left="5760" w:hanging="360"/>
      </w:pPr>
      <w:rPr>
        <w:rFonts w:ascii="Arial" w:hAnsi="Arial" w:hint="default"/>
      </w:rPr>
    </w:lvl>
    <w:lvl w:ilvl="8" w:tplc="7EB448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D1094B"/>
    <w:multiLevelType w:val="hybridMultilevel"/>
    <w:tmpl w:val="E9F267A8"/>
    <w:lvl w:ilvl="0" w:tplc="1788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1027B9"/>
    <w:multiLevelType w:val="hybridMultilevel"/>
    <w:tmpl w:val="519C294C"/>
    <w:lvl w:ilvl="0" w:tplc="E110D32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501CC-7E57-4222-B190-0061EA4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qFormat/>
    <w:pPr>
      <w:keepNext/>
      <w:jc w:val="center"/>
      <w:outlineLvl w:val="0"/>
    </w:pPr>
    <w:rPr>
      <w:rFonts w:ascii=".VnTimeH" w:hAnsi=".VnTimeH"/>
      <w:b/>
      <w:bCs/>
      <w:sz w:val="26"/>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link w:val="BodyTextIndent3"/>
    <w:uiPriority w:val="99"/>
    <w:rPr>
      <w:rFonts w:ascii="Times New Roman" w:eastAsia="Times New Roman" w:hAnsi="Times New Roman" w:cs="Times New Roman"/>
      <w:sz w:val="16"/>
      <w:szCs w:val="16"/>
      <w:lang w:val="en-U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customStyle="1" w:styleId="CharCharCharCharCharCharCharCharChar1Char">
    <w:name w:val="Char Char Char Char Char Char Char Char Char1 Char"/>
    <w:basedOn w:val="Normal"/>
    <w:next w:val="Normal"/>
    <w:autoRedefine/>
    <w:uiPriority w:val="99"/>
    <w:semiHidden/>
    <w:qFormat/>
    <w:pPr>
      <w:spacing w:before="120" w:after="120" w:line="312" w:lineRule="auto"/>
    </w:pPr>
    <w:rPr>
      <w:sz w:val="28"/>
      <w:szCs w:val="22"/>
    </w:rPr>
  </w:style>
  <w:style w:type="paragraph" w:styleId="FootnoteText">
    <w:name w:val="footnote text"/>
    <w:aliases w:val="single space,ft,Car Car Car Car,Car Car Car,Car,Car Car,Footnote Text Char Char Char Char Char,Footnote Text Char Char Char Char Char Char Ch Char,Car Ca,fn,FOOTNOTES"/>
    <w:basedOn w:val="Normal"/>
    <w:link w:val="FootnoteTextChar"/>
    <w:qFormat/>
    <w:rPr>
      <w:sz w:val="20"/>
      <w:szCs w:val="20"/>
    </w:rPr>
  </w:style>
  <w:style w:type="character" w:customStyle="1" w:styleId="FootnoteTextChar">
    <w:name w:val="Footnote Text Char"/>
    <w:aliases w:val="single space Char,ft Char,Car Car Car Car Char,Car Car Car Char,Car Char,Car Car Char,Footnote Text Char Char Char Char Char Char,Footnote Text Char Char Char Char Char Char Ch Char Char,Car Ca Char,fn Char,FOOTNOTES Char1"/>
    <w:link w:val="FootnoteText"/>
    <w:rPr>
      <w:rFonts w:ascii="Times New Roman" w:eastAsia="Times New Roman" w:hAnsi="Times New Roman"/>
      <w:lang w:val="en-US" w:eastAsia="en-US"/>
    </w:rPr>
  </w:style>
  <w:style w:type="character" w:styleId="FootnoteReference">
    <w:name w:val="footnote reference"/>
    <w:aliases w:val="Footnote,Footnote text,ftref,Footnote + Arial,10 pt,Black,16 Point,Superscript 6 Point,BVI fnr,Footnote Reference Number,Footnote Reference_LVL6,Footnote Reference_LVL61,Footnote Reference_LVL62,Footnote Reference_LVL63,fr,BearingPoi"/>
    <w:rPr>
      <w:vertAlign w:val="superscript"/>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Times New Roman" w:eastAsia="Times New Roman" w:hAnsi="Times New Roman"/>
      <w:sz w:val="24"/>
      <w:szCs w:val="24"/>
      <w:lang w:val="en-US" w:eastAsia="en-US"/>
    </w:rPr>
  </w:style>
  <w:style w:type="character" w:customStyle="1" w:styleId="Heading1Char">
    <w:name w:val="Heading 1 Char"/>
    <w:link w:val="Heading1"/>
    <w:rPr>
      <w:rFonts w:ascii=".VnTimeH" w:eastAsia="Times New Roman" w:hAnsi=".VnTimeH"/>
      <w:b/>
      <w:bCs/>
      <w:sz w:val="26"/>
      <w:szCs w:val="24"/>
      <w:lang w:val="en-US" w:eastAsia="en-US"/>
    </w:rPr>
  </w:style>
  <w:style w:type="paragraph" w:styleId="Title">
    <w:name w:val="Title"/>
    <w:basedOn w:val="Normal"/>
    <w:link w:val="TitleChar"/>
    <w:qFormat/>
    <w:pPr>
      <w:jc w:val="center"/>
    </w:pPr>
    <w:rPr>
      <w:rFonts w:ascii=".VnTimeH" w:hAnsi=".VnTimeH"/>
      <w:b/>
      <w:sz w:val="28"/>
      <w:szCs w:val="20"/>
    </w:rPr>
  </w:style>
  <w:style w:type="character" w:customStyle="1" w:styleId="TitleChar">
    <w:name w:val="Title Char"/>
    <w:link w:val="Title"/>
    <w:rPr>
      <w:rFonts w:ascii=".VnTimeH" w:eastAsia="Times New Roman" w:hAnsi=".VnTimeH"/>
      <w:b/>
      <w:sz w:val="28"/>
    </w:rPr>
  </w:style>
  <w:style w:type="paragraph" w:styleId="NormalWeb">
    <w:name w:val="Normal (Web)"/>
    <w:aliases w:val="Normal (Web) Char,Обычный (веб)1,Обычный (веб) Знак,Обычный (веб) Знак1,Обычный (веб) Знак Знак, Char Char Char,webb,Char Char Char"/>
    <w:basedOn w:val="Normal"/>
    <w:link w:val="NormalWebChar1"/>
    <w:uiPriority w:val="99"/>
    <w:unhideWhenUsed/>
    <w:qFormat/>
    <w:pPr>
      <w:spacing w:before="100" w:beforeAutospacing="1" w:after="100" w:afterAutospacing="1"/>
    </w:pPr>
  </w:style>
  <w:style w:type="paragraph" w:customStyle="1" w:styleId="Normal13pt">
    <w:name w:val="Normal + 13 pt"/>
    <w:basedOn w:val="Normal"/>
    <w:uiPriority w:val="99"/>
    <w:qFormat/>
    <w:pPr>
      <w:widowControl w:val="0"/>
      <w:suppressAutoHyphens/>
      <w:spacing w:line="360" w:lineRule="auto"/>
      <w:jc w:val="both"/>
    </w:pPr>
    <w:rPr>
      <w:rFonts w:eastAsia="Lucida Sans Unicode"/>
      <w:sz w:val="26"/>
      <w:szCs w:val="26"/>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rFonts w:ascii="Times New Roman" w:eastAsia="Times New Roman" w:hAnsi="Times New Roman"/>
      <w:sz w:val="24"/>
      <w:szCs w:val="24"/>
    </w:rPr>
  </w:style>
  <w:style w:type="paragraph" w:customStyle="1" w:styleId="oncaDanhsch">
    <w:name w:val="Đoạn của Danh sách"/>
    <w:basedOn w:val="Normal"/>
    <w:uiPriority w:val="99"/>
    <w:qFormat/>
    <w:pPr>
      <w:spacing w:after="200" w:line="276" w:lineRule="auto"/>
      <w:ind w:left="720"/>
    </w:pPr>
    <w:rPr>
      <w:rFonts w:ascii="Arial" w:hAnsi="Arial" w:cs="Arial"/>
      <w:sz w:val="22"/>
      <w:szCs w:val="22"/>
    </w:rPr>
  </w:style>
  <w:style w:type="character" w:customStyle="1" w:styleId="FootnoteTextChar1">
    <w:name w:val="Footnote Text Char1"/>
    <w:aliases w:val="single space Char1,ft Char1,Car Car Car Car Char1,Car Car Car Char1,Car Char1,Car Car Char1,Footnote Text Char Char Char Char Char Char1,Footnote Text Char Char Char Char Char Char Ch Char Char1,Car Ca Char1,fn Char1,FOOTNOTES Char"/>
    <w:semiHidden/>
    <w:locked/>
    <w:rPr>
      <w:rFonts w:cs="Times New Roman"/>
      <w:sz w:val="20"/>
      <w:szCs w:val="20"/>
    </w:rPr>
  </w:style>
  <w:style w:type="character" w:styleId="Emphasis">
    <w:name w:val="Emphasis"/>
    <w:qFormat/>
    <w:rPr>
      <w:i/>
      <w:iCs/>
    </w:rPr>
  </w:style>
  <w:style w:type="paragraph" w:customStyle="1" w:styleId="ColorfulList-Accent11">
    <w:name w:val="Colorful List - Accent 11"/>
    <w:basedOn w:val="Normal"/>
    <w:uiPriority w:val="99"/>
    <w:qFormat/>
    <w:pPr>
      <w:spacing w:after="200"/>
      <w:ind w:left="720"/>
      <w:contextualSpacing/>
    </w:pPr>
    <w:rPr>
      <w:rFonts w:eastAsia="Cambria"/>
      <w:sz w:val="28"/>
    </w:rPr>
  </w:style>
  <w:style w:type="paragraph" w:styleId="ListParagraph">
    <w:name w:val="List Paragraph"/>
    <w:aliases w:val="PIM_Danh muc cham,List Paragraph_FS,list paragraph for total document,Bullet,bl,Bullet L1,bl1,Listing,List Paragraph Bảng,List paragraph,Bullets,bullets,List in table,Párrafo de lista,Recommendation,List Paragraph2,Normal numbere,Dot pt"/>
    <w:basedOn w:val="Normal"/>
    <w:link w:val="ListParagraphChar"/>
    <w:qFormat/>
    <w:pPr>
      <w:widowControl w:val="0"/>
      <w:autoSpaceDE w:val="0"/>
      <w:autoSpaceDN w:val="0"/>
      <w:spacing w:before="124"/>
      <w:ind w:left="197" w:firstLine="710"/>
      <w:jc w:val="both"/>
    </w:pPr>
    <w:rPr>
      <w:sz w:val="22"/>
      <w:szCs w:val="22"/>
    </w:rPr>
  </w:style>
  <w:style w:type="character" w:styleId="Strong">
    <w:name w:val="Strong"/>
    <w:qFormat/>
    <w:rPr>
      <w:i/>
      <w:sz w:val="26"/>
      <w:szCs w:val="2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sz w:val="24"/>
      <w:szCs w:val="24"/>
      <w:lang w:val="en-US" w:eastAsia="en-US"/>
    </w:rPr>
  </w:style>
  <w:style w:type="character" w:customStyle="1" w:styleId="NormalWebChar1">
    <w:name w:val="Normal (Web) Char1"/>
    <w:aliases w:val="Normal (Web) Char Char,Обычный (веб)1 Char,Обычный (веб) Знак Char,Обычный (веб) Знак1 Char,Обычный (веб) Знак Знак Char, Char Char Char Char,webb Char,Char Char Char Char"/>
    <w:link w:val="NormalWeb"/>
    <w:uiPriority w:val="99"/>
    <w:locked/>
    <w:rPr>
      <w:rFonts w:ascii="Times New Roman" w:eastAsia="Times New Roman" w:hAnsi="Times New Roman"/>
      <w:sz w:val="24"/>
      <w:szCs w:val="24"/>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ListParagraphChar">
    <w:name w:val="List Paragraph Char"/>
    <w:aliases w:val="PIM_Danh muc cham Char,List Paragraph_FS Char,list paragraph for total document Char,Bullet Char,bl Char,Bullet L1 Char,bl1 Char,Listing Char,List Paragraph Bảng Char,List paragraph Char,Bullets Char,bullets Char,List in table Char"/>
    <w:link w:val="ListParagraph"/>
    <w:qFormat/>
    <w:rPr>
      <w:rFonts w:ascii="Times New Roman" w:eastAsia="Times New Roman" w:hAnsi="Times New Roman"/>
      <w:sz w:val="22"/>
      <w:szCs w:val="22"/>
    </w:rPr>
  </w:style>
  <w:style w:type="paragraph" w:customStyle="1" w:styleId="CharCharCharCharCharCharCharCharCharCharCharCharChar">
    <w:name w:val="Char Char Char Char Char Char Char Char Char Char Char Char Char"/>
    <w:basedOn w:val="Normal"/>
    <w:next w:val="Normal"/>
    <w:autoRedefine/>
    <w:uiPriority w:val="99"/>
    <w:semiHidden/>
    <w:qFormat/>
    <w:pPr>
      <w:spacing w:before="120" w:after="120" w:line="312" w:lineRule="auto"/>
    </w:pPr>
    <w:rPr>
      <w:bCs/>
      <w:sz w:val="28"/>
      <w:szCs w:val="28"/>
    </w:rPr>
  </w:style>
  <w:style w:type="character" w:customStyle="1" w:styleId="BodyText3Char1">
    <w:name w:val="Body Text 3 Char1"/>
    <w:basedOn w:val="DefaultParagraphFont"/>
    <w:semiHidden/>
    <w:rPr>
      <w:rFonts w:ascii="Times New Roman" w:eastAsia="Times New Roman" w:hAnsi="Times New Roman"/>
      <w:sz w:val="16"/>
      <w:szCs w:val="16"/>
    </w:rPr>
  </w:style>
  <w:style w:type="character" w:customStyle="1" w:styleId="BodyTextIndent2Char1">
    <w:name w:val="Body Text Indent 2 Char1"/>
    <w:basedOn w:val="DefaultParagraphFont"/>
    <w:uiPriority w:val="99"/>
    <w:semiHidden/>
    <w:rPr>
      <w:rFonts w:ascii="Times New Roman" w:eastAsia="Times New Roman" w:hAnsi="Times New Roman"/>
      <w:sz w:val="24"/>
      <w:szCs w:val="24"/>
    </w:rPr>
  </w:style>
  <w:style w:type="character" w:customStyle="1" w:styleId="BodyTextIndent3Char1">
    <w:name w:val="Body Text Indent 3 Char1"/>
    <w:basedOn w:val="DefaultParagraphFont"/>
    <w:uiPriority w:val="99"/>
    <w:semiHidden/>
    <w:rPr>
      <w:rFonts w:ascii="Times New Roman" w:eastAsia="Times New Roman" w:hAnsi="Times New Roman"/>
      <w:sz w:val="16"/>
      <w:szCs w:val="16"/>
    </w:rPr>
  </w:style>
  <w:style w:type="character" w:customStyle="1" w:styleId="BodyTextIndentChar1">
    <w:name w:val="Body Text Indent Char1"/>
    <w:basedOn w:val="DefaultParagraphFont"/>
    <w:uiPriority w:val="99"/>
    <w:semiHidden/>
    <w:rPr>
      <w:rFonts w:ascii="Times New Roman" w:eastAsia="Times New Roman" w:hAnsi="Times New Roman"/>
      <w:sz w:val="24"/>
      <w:szCs w:val="24"/>
    </w:rPr>
  </w:style>
  <w:style w:type="character" w:customStyle="1" w:styleId="TitleChar1">
    <w:name w:val="Title Char1"/>
    <w:basedOn w:val="DefaultParagraphFont"/>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DefaultParagraphFont"/>
    <w:uiPriority w:val="99"/>
    <w:rPr>
      <w:rFonts w:ascii="Times New Roman" w:eastAsia="Times New Roman" w:hAnsi="Times New Roman"/>
      <w:sz w:val="24"/>
      <w:szCs w:val="24"/>
    </w:rPr>
  </w:style>
  <w:style w:type="character" w:customStyle="1" w:styleId="HeaderChar1">
    <w:name w:val="Header Char1"/>
    <w:basedOn w:val="DefaultParagraphFont"/>
    <w:uiPriority w:val="99"/>
    <w:semiHidden/>
    <w:rPr>
      <w:rFonts w:ascii="Times New Roman" w:eastAsia="Times New Roman" w:hAnsi="Times New Roman"/>
      <w:sz w:val="24"/>
      <w:szCs w:val="24"/>
    </w:rPr>
  </w:style>
  <w:style w:type="character" w:customStyle="1" w:styleId="FooterChar1">
    <w:name w:val="Footer Char1"/>
    <w:basedOn w:val="DefaultParagraphFont"/>
    <w:uiPriority w:val="99"/>
    <w:semiHidden/>
    <w:rPr>
      <w:rFonts w:ascii="Times New Roman" w:eastAsia="Times New Roman" w:hAnsi="Times New Roman"/>
      <w:sz w:val="24"/>
      <w:szCs w:val="24"/>
    </w:rPr>
  </w:style>
  <w:style w:type="paragraph" w:customStyle="1" w:styleId="Char">
    <w:name w:val="Char"/>
    <w:basedOn w:val="Normal"/>
    <w:semiHidden/>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p">
    <w:name w:val="normal-p"/>
    <w:basedOn w:val="Normal"/>
    <w:qFormat/>
    <w:pPr>
      <w:jc w:val="both"/>
    </w:pPr>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837">
      <w:bodyDiv w:val="1"/>
      <w:marLeft w:val="0"/>
      <w:marRight w:val="0"/>
      <w:marTop w:val="0"/>
      <w:marBottom w:val="0"/>
      <w:divBdr>
        <w:top w:val="none" w:sz="0" w:space="0" w:color="auto"/>
        <w:left w:val="none" w:sz="0" w:space="0" w:color="auto"/>
        <w:bottom w:val="none" w:sz="0" w:space="0" w:color="auto"/>
        <w:right w:val="none" w:sz="0" w:space="0" w:color="auto"/>
      </w:divBdr>
    </w:div>
    <w:div w:id="169151241">
      <w:bodyDiv w:val="1"/>
      <w:marLeft w:val="0"/>
      <w:marRight w:val="0"/>
      <w:marTop w:val="0"/>
      <w:marBottom w:val="0"/>
      <w:divBdr>
        <w:top w:val="none" w:sz="0" w:space="0" w:color="auto"/>
        <w:left w:val="none" w:sz="0" w:space="0" w:color="auto"/>
        <w:bottom w:val="none" w:sz="0" w:space="0" w:color="auto"/>
        <w:right w:val="none" w:sz="0" w:space="0" w:color="auto"/>
      </w:divBdr>
    </w:div>
    <w:div w:id="452944666">
      <w:bodyDiv w:val="1"/>
      <w:marLeft w:val="0"/>
      <w:marRight w:val="0"/>
      <w:marTop w:val="0"/>
      <w:marBottom w:val="0"/>
      <w:divBdr>
        <w:top w:val="none" w:sz="0" w:space="0" w:color="auto"/>
        <w:left w:val="none" w:sz="0" w:space="0" w:color="auto"/>
        <w:bottom w:val="none" w:sz="0" w:space="0" w:color="auto"/>
        <w:right w:val="none" w:sz="0" w:space="0" w:color="auto"/>
      </w:divBdr>
    </w:div>
    <w:div w:id="479998179">
      <w:bodyDiv w:val="1"/>
      <w:marLeft w:val="0"/>
      <w:marRight w:val="0"/>
      <w:marTop w:val="0"/>
      <w:marBottom w:val="0"/>
      <w:divBdr>
        <w:top w:val="none" w:sz="0" w:space="0" w:color="auto"/>
        <w:left w:val="none" w:sz="0" w:space="0" w:color="auto"/>
        <w:bottom w:val="none" w:sz="0" w:space="0" w:color="auto"/>
        <w:right w:val="none" w:sz="0" w:space="0" w:color="auto"/>
      </w:divBdr>
      <w:divsChild>
        <w:div w:id="1771663662">
          <w:marLeft w:val="547"/>
          <w:marRight w:val="0"/>
          <w:marTop w:val="154"/>
          <w:marBottom w:val="0"/>
          <w:divBdr>
            <w:top w:val="none" w:sz="0" w:space="0" w:color="auto"/>
            <w:left w:val="none" w:sz="0" w:space="0" w:color="auto"/>
            <w:bottom w:val="none" w:sz="0" w:space="0" w:color="auto"/>
            <w:right w:val="none" w:sz="0" w:space="0" w:color="auto"/>
          </w:divBdr>
        </w:div>
      </w:divsChild>
    </w:div>
    <w:div w:id="504903055">
      <w:bodyDiv w:val="1"/>
      <w:marLeft w:val="0"/>
      <w:marRight w:val="0"/>
      <w:marTop w:val="0"/>
      <w:marBottom w:val="0"/>
      <w:divBdr>
        <w:top w:val="none" w:sz="0" w:space="0" w:color="auto"/>
        <w:left w:val="none" w:sz="0" w:space="0" w:color="auto"/>
        <w:bottom w:val="none" w:sz="0" w:space="0" w:color="auto"/>
        <w:right w:val="none" w:sz="0" w:space="0" w:color="auto"/>
      </w:divBdr>
    </w:div>
    <w:div w:id="759258118">
      <w:bodyDiv w:val="1"/>
      <w:marLeft w:val="0"/>
      <w:marRight w:val="0"/>
      <w:marTop w:val="0"/>
      <w:marBottom w:val="0"/>
      <w:divBdr>
        <w:top w:val="none" w:sz="0" w:space="0" w:color="auto"/>
        <w:left w:val="none" w:sz="0" w:space="0" w:color="auto"/>
        <w:bottom w:val="none" w:sz="0" w:space="0" w:color="auto"/>
        <w:right w:val="none" w:sz="0" w:space="0" w:color="auto"/>
      </w:divBdr>
    </w:div>
    <w:div w:id="1293094715">
      <w:bodyDiv w:val="1"/>
      <w:marLeft w:val="0"/>
      <w:marRight w:val="0"/>
      <w:marTop w:val="0"/>
      <w:marBottom w:val="0"/>
      <w:divBdr>
        <w:top w:val="none" w:sz="0" w:space="0" w:color="auto"/>
        <w:left w:val="none" w:sz="0" w:space="0" w:color="auto"/>
        <w:bottom w:val="none" w:sz="0" w:space="0" w:color="auto"/>
        <w:right w:val="none" w:sz="0" w:space="0" w:color="auto"/>
      </w:divBdr>
    </w:div>
    <w:div w:id="1414812639">
      <w:bodyDiv w:val="1"/>
      <w:marLeft w:val="0"/>
      <w:marRight w:val="0"/>
      <w:marTop w:val="0"/>
      <w:marBottom w:val="0"/>
      <w:divBdr>
        <w:top w:val="none" w:sz="0" w:space="0" w:color="auto"/>
        <w:left w:val="none" w:sz="0" w:space="0" w:color="auto"/>
        <w:bottom w:val="none" w:sz="0" w:space="0" w:color="auto"/>
        <w:right w:val="none" w:sz="0" w:space="0" w:color="auto"/>
      </w:divBdr>
    </w:div>
    <w:div w:id="1550148049">
      <w:bodyDiv w:val="1"/>
      <w:marLeft w:val="0"/>
      <w:marRight w:val="0"/>
      <w:marTop w:val="0"/>
      <w:marBottom w:val="0"/>
      <w:divBdr>
        <w:top w:val="none" w:sz="0" w:space="0" w:color="auto"/>
        <w:left w:val="none" w:sz="0" w:space="0" w:color="auto"/>
        <w:bottom w:val="none" w:sz="0" w:space="0" w:color="auto"/>
        <w:right w:val="none" w:sz="0" w:space="0" w:color="auto"/>
      </w:divBdr>
    </w:div>
    <w:div w:id="2053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41679-9D7C-4BA8-846F-7B060D37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2605</Words>
  <Characters>14850</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Các cơ quan, ban, ngành, thành viên Ban Chỉ đạo thực hiện Chương trình mục tiê</vt:lpstr>
      <vt:lpstr>- Việc kiểm tra và giám sát, đánh giá thực hiện Chương trình mục tiêu quốc gia g</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VNN.R9</cp:lastModifiedBy>
  <cp:revision>88</cp:revision>
  <cp:lastPrinted>2023-08-04T08:01:00Z</cp:lastPrinted>
  <dcterms:created xsi:type="dcterms:W3CDTF">2023-08-11T02:53:00Z</dcterms:created>
  <dcterms:modified xsi:type="dcterms:W3CDTF">2023-08-15T04:22:00Z</dcterms:modified>
</cp:coreProperties>
</file>